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1109" w14:textId="77777777" w:rsidR="0027382E" w:rsidRPr="009E1D09" w:rsidRDefault="0027382E" w:rsidP="00102A2A">
      <w:pPr>
        <w:kinsoku w:val="0"/>
        <w:overflowPunct w:val="0"/>
        <w:spacing w:before="120" w:after="120" w:line="240" w:lineRule="auto"/>
        <w:ind w:right="-1"/>
        <w:jc w:val="center"/>
        <w:rPr>
          <w:rFonts w:ascii="Times New Roman" w:eastAsia="Times New Roman" w:hAnsi="Times New Roman" w:cs="Times New Roman"/>
          <w:b/>
          <w:caps/>
          <w:w w:val="90"/>
          <w:sz w:val="24"/>
          <w:lang w:eastAsia="it-IT"/>
        </w:rPr>
      </w:pPr>
    </w:p>
    <w:p w14:paraId="7FE86E6B" w14:textId="77777777" w:rsidR="0027382E" w:rsidRPr="009E1D09" w:rsidRDefault="0027382E" w:rsidP="00102A2A">
      <w:pPr>
        <w:kinsoku w:val="0"/>
        <w:overflowPunct w:val="0"/>
        <w:spacing w:before="120" w:after="120" w:line="240" w:lineRule="auto"/>
        <w:ind w:right="-1"/>
        <w:jc w:val="center"/>
        <w:rPr>
          <w:rFonts w:ascii="Times New Roman" w:eastAsia="Times New Roman" w:hAnsi="Times New Roman" w:cs="Times New Roman"/>
          <w:b/>
          <w:caps/>
          <w:w w:val="90"/>
          <w:sz w:val="24"/>
          <w:lang w:eastAsia="it-IT"/>
        </w:rPr>
      </w:pPr>
    </w:p>
    <w:p w14:paraId="12E0EB25" w14:textId="77777777" w:rsidR="00AF06AA" w:rsidRPr="009E1D09" w:rsidRDefault="00AF06AA" w:rsidP="00AF06AA">
      <w:pPr>
        <w:spacing w:after="0"/>
        <w:jc w:val="center"/>
        <w:rPr>
          <w:b/>
        </w:rPr>
      </w:pPr>
      <w:r w:rsidRPr="009E1D09">
        <w:rPr>
          <w:b/>
        </w:rPr>
        <w:t>AFFIDAMENTO INCARICO PER “STUDI DI MICROZONAZIONE SISMICA</w:t>
      </w:r>
      <w:r w:rsidR="00B351D0" w:rsidRPr="009E1D09">
        <w:rPr>
          <w:b/>
        </w:rPr>
        <w:t>”</w:t>
      </w:r>
    </w:p>
    <w:p w14:paraId="59A9B00C" w14:textId="77777777" w:rsidR="00AF06AA" w:rsidRPr="009E1D09" w:rsidRDefault="00AF06AA" w:rsidP="00AF06AA">
      <w:pPr>
        <w:spacing w:after="0"/>
        <w:jc w:val="center"/>
        <w:rPr>
          <w:b/>
        </w:rPr>
      </w:pPr>
      <w:r w:rsidRPr="009E1D09">
        <w:rPr>
          <w:b/>
        </w:rPr>
        <w:t xml:space="preserve"> NEL COMUNE DI</w:t>
      </w:r>
    </w:p>
    <w:p w14:paraId="5DD3B2BF" w14:textId="77777777" w:rsidR="00AF06AA" w:rsidRPr="009E1D09" w:rsidRDefault="00AF06AA" w:rsidP="00AF06AA">
      <w:pPr>
        <w:spacing w:after="0"/>
        <w:jc w:val="center"/>
        <w:rPr>
          <w:b/>
        </w:rPr>
      </w:pPr>
    </w:p>
    <w:p w14:paraId="1D7D22EE" w14:textId="77777777" w:rsidR="00AF06AA" w:rsidRPr="009E1D09" w:rsidRDefault="00AF06AA" w:rsidP="00AF06AA">
      <w:pPr>
        <w:spacing w:after="0"/>
        <w:jc w:val="center"/>
        <w:rPr>
          <w:b/>
        </w:rPr>
      </w:pPr>
      <w:r w:rsidRPr="009E1D09">
        <w:rPr>
          <w:b/>
        </w:rPr>
        <w:t>______________________________</w:t>
      </w:r>
    </w:p>
    <w:p w14:paraId="64B1BA42" w14:textId="77777777" w:rsidR="00AF06AA" w:rsidRPr="009E1D09" w:rsidRDefault="00AF06AA" w:rsidP="00AF06AA">
      <w:pPr>
        <w:spacing w:before="120" w:after="0"/>
        <w:jc w:val="both"/>
        <w:rPr>
          <w:b/>
        </w:rPr>
      </w:pPr>
    </w:p>
    <w:p w14:paraId="11435FDA" w14:textId="77777777" w:rsidR="00AF06AA" w:rsidRPr="009E1D09" w:rsidRDefault="00AF06AA" w:rsidP="00AF06AA">
      <w:pPr>
        <w:spacing w:before="120" w:after="0"/>
        <w:jc w:val="center"/>
        <w:rPr>
          <w:b/>
        </w:rPr>
      </w:pPr>
      <w:r w:rsidRPr="009E1D09">
        <w:rPr>
          <w:b/>
        </w:rPr>
        <w:t>DISCIPLINARE</w:t>
      </w:r>
    </w:p>
    <w:p w14:paraId="60C0FAEC" w14:textId="77777777" w:rsidR="00AF06AA" w:rsidRPr="009E1D09" w:rsidRDefault="00AF06AA" w:rsidP="00AF06AA">
      <w:pPr>
        <w:spacing w:before="120" w:after="0"/>
        <w:jc w:val="both"/>
        <w:rPr>
          <w:b/>
        </w:rPr>
      </w:pPr>
    </w:p>
    <w:p w14:paraId="66670992" w14:textId="77777777" w:rsidR="00AF06AA" w:rsidRPr="009E1D09" w:rsidRDefault="00AF06AA" w:rsidP="00AF06AA">
      <w:pPr>
        <w:spacing w:before="120" w:after="0"/>
        <w:jc w:val="both"/>
        <w:rPr>
          <w:b/>
        </w:rPr>
      </w:pPr>
      <w:r w:rsidRPr="009E1D09">
        <w:rPr>
          <w:b/>
        </w:rPr>
        <w:t>Premessa</w:t>
      </w:r>
    </w:p>
    <w:p w14:paraId="19E71E14" w14:textId="77777777" w:rsidR="00AF06AA" w:rsidRPr="009E1D09" w:rsidRDefault="00AF06AA" w:rsidP="00AF06AA">
      <w:pPr>
        <w:spacing w:after="0"/>
        <w:jc w:val="both"/>
      </w:pPr>
      <w:r w:rsidRPr="009E1D09">
        <w:t>Il presente disciplinare definisce l’oggetto e le caratteristiche dei servizi affidati per  “</w:t>
      </w:r>
      <w:r w:rsidRPr="009E1D09">
        <w:rPr>
          <w:b/>
        </w:rPr>
        <w:t>STUDI DI MICROZONAZIONE SISMICA</w:t>
      </w:r>
      <w:r w:rsidR="00B351D0" w:rsidRPr="009E1D09">
        <w:rPr>
          <w:b/>
        </w:rPr>
        <w:t>”</w:t>
      </w:r>
      <w:r w:rsidRPr="009E1D09">
        <w:rPr>
          <w:b/>
        </w:rPr>
        <w:t xml:space="preserve"> NEL COMUNE DI__________________________” </w:t>
      </w:r>
      <w:r w:rsidRPr="009E1D09">
        <w:t>(di seguito indicato come “servizi”), come previsto dall’Accordo di Collaborazione Scientifica tra Regione Puglia, Consiglio Nazionale delle Ricerche - Istituto di Ricerca per la Protezione Idrogeologica (di seguito “IRPI”) e Dipartimento di Scienze della Terra e Geoambientali dell’Università degli Studi di Bari Aldo Moro (di seguito “DiSteGeo”), stipulato secondo l’art. 15 comma 1 L. 241/1990 e firmato dalle parti il 04/12/2019 per l’attuazione delle attività necessarie allo svolgimento degli Studi di Microzonazione Sismica di I, II e III livello e dell’Analisi della Condizione Limite per l’Emergenza (CLE) degli insediamenti urbani di alcuni comuni della Regione Puglia (nel seguito “Accordo Regione - IRPI - DiSTeGeo”).</w:t>
      </w:r>
    </w:p>
    <w:p w14:paraId="5279984A" w14:textId="77777777" w:rsidR="00AF06AA" w:rsidRPr="009E1D09" w:rsidRDefault="00AF06AA" w:rsidP="00AF06AA">
      <w:pPr>
        <w:spacing w:after="0"/>
        <w:jc w:val="both"/>
      </w:pPr>
      <w:r w:rsidRPr="009E1D09">
        <w:t>L’Amministrazione Comunale (di seguito anche “ente attuatore”) intende affidare un incarico specialistico consistente nel</w:t>
      </w:r>
      <w:r w:rsidR="00B351D0" w:rsidRPr="009E1D09">
        <w:t>l’aggiornamento</w:t>
      </w:r>
      <w:r w:rsidRPr="009E1D09">
        <w:t xml:space="preserve"> dello studio di Microzonazione Sismica (MS) di livello 1</w:t>
      </w:r>
      <w:r w:rsidR="00B351D0" w:rsidRPr="009E1D09">
        <w:t xml:space="preserve"> (MS1)</w:t>
      </w:r>
      <w:r w:rsidRPr="009E1D09">
        <w:t xml:space="preserve"> </w:t>
      </w:r>
      <w:r w:rsidR="00B351D0" w:rsidRPr="009E1D09">
        <w:t xml:space="preserve">e nello svolgimento di approfondimenti </w:t>
      </w:r>
      <w:r w:rsidR="00816FFF" w:rsidRPr="009E1D09">
        <w:t xml:space="preserve">di livello </w:t>
      </w:r>
      <w:r w:rsidR="001903ED" w:rsidRPr="009E1D09">
        <w:t>2/3</w:t>
      </w:r>
      <w:r w:rsidR="00816FFF" w:rsidRPr="009E1D09">
        <w:t xml:space="preserve"> per il suddetto studio (MS2/3) </w:t>
      </w:r>
      <w:r w:rsidRPr="009E1D09">
        <w:t xml:space="preserve">per il territorio comunale, secondo gli standard più recenti definiti dalla Commissione Tecnica per la Microzonazione Sismica di cui all’articolo 5, comma 7 dell’OPCM 13 novembre 2010, n. 3907. </w:t>
      </w:r>
    </w:p>
    <w:p w14:paraId="1DD44379" w14:textId="77777777" w:rsidR="00AF06AA" w:rsidRPr="009E1D09" w:rsidRDefault="00AF06AA" w:rsidP="00AF06AA">
      <w:pPr>
        <w:spacing w:after="0"/>
        <w:jc w:val="both"/>
      </w:pPr>
      <w:r w:rsidRPr="009E1D09">
        <w:t>L’ affidatario si impegna ad assumere il servizio affidato dal Comune accettando espressamente e senza riserve le norme e le specifiche riportate nel presente disciplinare. In particolare, lo studio dovrà essere realizzato dall’affidatario secondo le modalità descritte negli Indirizzi e Criteri per la Microzonazione Sismica (ICMS, 2008</w:t>
      </w:r>
      <w:r w:rsidR="00B36C82" w:rsidRPr="009E1D09">
        <w:t xml:space="preserve"> – Gruppo di Lavoro MS, 2008</w:t>
      </w:r>
      <w:r w:rsidRPr="009E1D09">
        <w:t>) e successivi aggiornamenti e dovranno essere adottati i più recenti Standard di rappresentazione e archiviazione informatica degli studi di MS (</w:t>
      </w:r>
      <w:r w:rsidR="00886FEA" w:rsidRPr="009E1D09">
        <w:t xml:space="preserve">Commissione tecnica per la microzonazione sismica, 2019 - </w:t>
      </w:r>
      <w:r w:rsidRPr="009E1D09">
        <w:t>Versione 4.2).</w:t>
      </w:r>
    </w:p>
    <w:p w14:paraId="732D44B5" w14:textId="77777777" w:rsidR="009C25A8" w:rsidRPr="009E1D09" w:rsidRDefault="00AF06AA" w:rsidP="009C25A8">
      <w:pPr>
        <w:spacing w:after="0"/>
        <w:jc w:val="both"/>
      </w:pPr>
      <w:r w:rsidRPr="009E1D09">
        <w:t xml:space="preserve">Lo studio di MS sarà </w:t>
      </w:r>
      <w:r w:rsidR="009C25A8" w:rsidRPr="009E1D09">
        <w:t xml:space="preserve">finalizzato a </w:t>
      </w:r>
      <w:r w:rsidR="008B1F6E" w:rsidRPr="009E1D09">
        <w:t>stimare in forma quantitativa</w:t>
      </w:r>
      <w:r w:rsidR="009C25A8" w:rsidRPr="009E1D09">
        <w:t xml:space="preserve"> la pericolosità sismica locale di suddivisioni territoriali definite microzone, classificate come aree stabili, aree stabili suscettibili di amplificazione e aree instabili</w:t>
      </w:r>
      <w:r w:rsidR="008B1F6E" w:rsidRPr="009E1D09">
        <w:t>, sintetizzando i risultati di queste stime attraverso la</w:t>
      </w:r>
      <w:r w:rsidR="009C25A8" w:rsidRPr="009E1D09">
        <w:t xml:space="preserve"> redazione d</w:t>
      </w:r>
      <w:r w:rsidR="008B1F6E" w:rsidRPr="009E1D09">
        <w:t xml:space="preserve">i </w:t>
      </w:r>
      <w:r w:rsidR="009C25A8" w:rsidRPr="009E1D09">
        <w:t xml:space="preserve">Carte di </w:t>
      </w:r>
      <w:r w:rsidR="008B1F6E" w:rsidRPr="009E1D09">
        <w:t>M</w:t>
      </w:r>
      <w:r w:rsidR="009C25A8" w:rsidRPr="009E1D09">
        <w:t xml:space="preserve">icrozonazione </w:t>
      </w:r>
      <w:r w:rsidR="008B1F6E" w:rsidRPr="009E1D09">
        <w:t>S</w:t>
      </w:r>
      <w:r w:rsidR="009C25A8" w:rsidRPr="009E1D09">
        <w:t xml:space="preserve">ismica </w:t>
      </w:r>
      <w:r w:rsidR="00733CEB" w:rsidRPr="009E1D09">
        <w:t xml:space="preserve">(CMS) </w:t>
      </w:r>
      <w:r w:rsidR="008B1F6E" w:rsidRPr="009E1D09">
        <w:t xml:space="preserve">ad una scala non inferiore a </w:t>
      </w:r>
      <w:r w:rsidR="009C25A8" w:rsidRPr="009E1D09">
        <w:t>1:</w:t>
      </w:r>
      <w:r w:rsidR="008B1F6E" w:rsidRPr="009E1D09">
        <w:t>10</w:t>
      </w:r>
      <w:r w:rsidR="009C25A8" w:rsidRPr="009E1D09">
        <w:t>000</w:t>
      </w:r>
      <w:r w:rsidR="000923D7" w:rsidRPr="009E1D09">
        <w:t xml:space="preserve">, corredata da una relazione </w:t>
      </w:r>
      <w:r w:rsidR="00733CEB" w:rsidRPr="009E1D09">
        <w:t xml:space="preserve">illustrativa </w:t>
      </w:r>
      <w:r w:rsidR="000923D7" w:rsidRPr="009E1D09">
        <w:t>finale e dall’insieme della documentazione e degli elaborati che avranno concorso alla sua realizzazione, secondo le indicazioni degli ICMS 2008 e successivi aggiornamenti, come di seguito specificato.</w:t>
      </w:r>
    </w:p>
    <w:p w14:paraId="2AB1C619" w14:textId="77777777" w:rsidR="00731E05" w:rsidRPr="009E1D09" w:rsidRDefault="009C25A8" w:rsidP="009C25A8">
      <w:pPr>
        <w:spacing w:after="0"/>
        <w:jc w:val="both"/>
      </w:pPr>
      <w:r w:rsidRPr="009E1D09">
        <w:t xml:space="preserve">Lo studio di MS sarà realizzato mediante </w:t>
      </w:r>
      <w:bookmarkStart w:id="0" w:name="_Hlk93428492"/>
      <w:r w:rsidR="00A77D37" w:rsidRPr="009E1D09">
        <w:t xml:space="preserve">l’uso di abachi predisposti dalla Regione Puglia o </w:t>
      </w:r>
      <w:bookmarkEnd w:id="0"/>
      <w:r w:rsidR="0085592C" w:rsidRPr="009E1D09">
        <w:t xml:space="preserve">lo svolgimento </w:t>
      </w:r>
      <w:r w:rsidR="00405825" w:rsidRPr="009E1D09">
        <w:t xml:space="preserve">di </w:t>
      </w:r>
      <w:r w:rsidRPr="009E1D09">
        <w:t>analisi di risposta sismica locale monodimensionale (1D), effettuate su verticali rappresentative, in numero adeguato per poter caratterizzare le tipologie di microzon</w:t>
      </w:r>
      <w:r w:rsidR="000923D7" w:rsidRPr="009E1D09">
        <w:t>e</w:t>
      </w:r>
      <w:r w:rsidRPr="009E1D09">
        <w:t xml:space="preserve"> individuate </w:t>
      </w:r>
      <w:r w:rsidR="00DD1658" w:rsidRPr="009E1D09">
        <w:t>a partire dalla</w:t>
      </w:r>
      <w:r w:rsidR="008B1F6E" w:rsidRPr="009E1D09">
        <w:t xml:space="preserve"> </w:t>
      </w:r>
      <w:r w:rsidRPr="009E1D09">
        <w:t xml:space="preserve">Carta delle </w:t>
      </w:r>
      <w:r w:rsidR="008B1F6E" w:rsidRPr="009E1D09">
        <w:t>M</w:t>
      </w:r>
      <w:r w:rsidRPr="009E1D09">
        <w:t xml:space="preserve">icrozone </w:t>
      </w:r>
      <w:r w:rsidR="008B1F6E" w:rsidRPr="009E1D09">
        <w:t>O</w:t>
      </w:r>
      <w:r w:rsidRPr="009E1D09">
        <w:t xml:space="preserve">mogenee in </w:t>
      </w:r>
      <w:r w:rsidR="008B1F6E" w:rsidRPr="009E1D09">
        <w:t>P</w:t>
      </w:r>
      <w:r w:rsidRPr="009E1D09">
        <w:t xml:space="preserve">rospettiva </w:t>
      </w:r>
      <w:r w:rsidR="008B1F6E" w:rsidRPr="009E1D09">
        <w:t>S</w:t>
      </w:r>
      <w:r w:rsidRPr="009E1D09">
        <w:t>ismica (MOPS)</w:t>
      </w:r>
      <w:r w:rsidR="008B1F6E" w:rsidRPr="009E1D09">
        <w:t xml:space="preserve"> prodotta dagli studi di MS1</w:t>
      </w:r>
      <w:r w:rsidRPr="009E1D09">
        <w:t xml:space="preserve">. </w:t>
      </w:r>
      <w:r w:rsidR="00D103CB" w:rsidRPr="009E1D09">
        <w:t xml:space="preserve">A seconda del grado di complessità delle condizioni di sito nelle diverse microzone, l’analisi della risposta sismica potrà essere condotta mediante l’uso di abachi predisposti a cura della Regione Puglia o mediante </w:t>
      </w:r>
      <w:r w:rsidRPr="009E1D09">
        <w:t xml:space="preserve">analisi numeriche </w:t>
      </w:r>
      <w:r w:rsidR="00D103CB" w:rsidRPr="009E1D09">
        <w:t>appositamente eseguite, che dovranno fornire</w:t>
      </w:r>
      <w:r w:rsidRPr="009E1D09">
        <w:t xml:space="preserve"> accelerogrammi calcolati in superficie</w:t>
      </w:r>
      <w:r w:rsidR="00731E05" w:rsidRPr="009E1D09">
        <w:t>,</w:t>
      </w:r>
      <w:r w:rsidRPr="009E1D09">
        <w:t xml:space="preserve"> </w:t>
      </w:r>
      <w:r w:rsidR="00731E05" w:rsidRPr="009E1D09">
        <w:t>stime dei</w:t>
      </w:r>
      <w:r w:rsidRPr="009E1D09">
        <w:t xml:space="preserve"> fattori di amplificazione in pseudo-accelerazione calcolati per prefissati intervalli di periodi, nonché spettri </w:t>
      </w:r>
      <w:r w:rsidR="00717D9A" w:rsidRPr="009E1D09">
        <w:t xml:space="preserve">elastici </w:t>
      </w:r>
      <w:r w:rsidRPr="009E1D09">
        <w:t>di risposta</w:t>
      </w:r>
      <w:r w:rsidR="00717D9A" w:rsidRPr="009E1D09">
        <w:t>, sia in termini di pseudo-velocità che pseudo-accelerazione,</w:t>
      </w:r>
      <w:r w:rsidRPr="009E1D09">
        <w:t xml:space="preserve"> al 5% di smorzamento.</w:t>
      </w:r>
      <w:r w:rsidR="00731E05" w:rsidRPr="009E1D09">
        <w:t xml:space="preserve"> </w:t>
      </w:r>
    </w:p>
    <w:p w14:paraId="010967C1" w14:textId="77777777" w:rsidR="00AF06AA" w:rsidRPr="00825D2E" w:rsidRDefault="00AF06AA" w:rsidP="00AF06AA">
      <w:pPr>
        <w:spacing w:after="0"/>
        <w:jc w:val="both"/>
      </w:pPr>
      <w:r w:rsidRPr="008337F5">
        <w:lastRenderedPageBreak/>
        <w:t xml:space="preserve">L’insieme delle attività finalizzate alla realizzazione dello studio di MS saranno eseguite dall’affidatario in coordinamento con il Gruppo di Lavoro di Supporto Tecnico-Scientifico (di seguito GLSTS), istituito in compartecipazione tra il DiSTeGeo e l’IRPI, mediante il summenzionato Accordo Regione - IRPI - DiSTeGeo. L’affidatario dovrà pertanto raccordarsi con il personale designato dal GLSTS per la definizione delle linee guida tecnico-scientifiche da seguire durante le varie fasi di realizzazione del servizio. Il GLSTS </w:t>
      </w:r>
      <w:r w:rsidR="00DD1658" w:rsidRPr="008337F5">
        <w:t>fornirà</w:t>
      </w:r>
      <w:r w:rsidRPr="008337F5">
        <w:t xml:space="preserve"> dati ed elaborazioni specialistiche di supporto, coordinando lo svolgimento delle attività nell’ambito dei diversi </w:t>
      </w:r>
      <w:r w:rsidRPr="00825D2E">
        <w:t>Comuni impegnati negli studi di Microzonazione Sismica.</w:t>
      </w:r>
    </w:p>
    <w:p w14:paraId="024814D6" w14:textId="3ED75021" w:rsidR="00AE32C1" w:rsidRPr="00F95667" w:rsidRDefault="00AE32C1" w:rsidP="00AE32C1">
      <w:pPr>
        <w:spacing w:after="0"/>
        <w:jc w:val="both"/>
      </w:pPr>
      <w:r w:rsidRPr="00F95667">
        <w:t xml:space="preserve">Nell’accettare l’affidamento dei servizi di seguito descritti, ciascun componente dello staff del soggetto affidatario si impegna, attraverso apposita dichiarazione (Allegato </w:t>
      </w:r>
      <w:r>
        <w:t>2</w:t>
      </w:r>
      <w:r w:rsidRPr="00F95667">
        <w:t>), ad assumere un numero massimo di tre incarichi per studi di MS, compreso il presente, da parte di altre Amministrazioni Comunali.  Si precisa che, al completamento degli incarichi in essere, sarà possibile ottenere ulteriori affidamenti.</w:t>
      </w:r>
    </w:p>
    <w:p w14:paraId="4293A5A8" w14:textId="77777777" w:rsidR="00AF06AA" w:rsidRPr="006B13C4" w:rsidRDefault="00AF06AA" w:rsidP="00AF06AA">
      <w:pPr>
        <w:spacing w:after="0"/>
        <w:jc w:val="both"/>
        <w:rPr>
          <w:color w:val="FF0000"/>
        </w:rPr>
      </w:pPr>
    </w:p>
    <w:p w14:paraId="3546F553" w14:textId="77777777" w:rsidR="00AF06AA" w:rsidRPr="008337F5" w:rsidRDefault="00AF06AA" w:rsidP="00AF06AA">
      <w:pPr>
        <w:spacing w:after="0"/>
        <w:jc w:val="both"/>
        <w:rPr>
          <w:b/>
        </w:rPr>
      </w:pPr>
      <w:r w:rsidRPr="008337F5">
        <w:rPr>
          <w:b/>
        </w:rPr>
        <w:t>Articolo 1. Oggetto dell’incarico</w:t>
      </w:r>
    </w:p>
    <w:p w14:paraId="7E3E3C14" w14:textId="77777777" w:rsidR="00AF06AA" w:rsidRPr="008337F5" w:rsidRDefault="00AF06AA" w:rsidP="00AF06AA">
      <w:pPr>
        <w:spacing w:after="0"/>
        <w:jc w:val="both"/>
      </w:pPr>
      <w:r w:rsidRPr="008337F5">
        <w:t>Il presente disciplinare ha per oggetto i seguenti servizi relativi agli studi di MS del Comune di _______________________:</w:t>
      </w:r>
    </w:p>
    <w:p w14:paraId="3493BDAF" w14:textId="77777777" w:rsidR="00AF06AA" w:rsidRPr="008337F5" w:rsidRDefault="001819F3" w:rsidP="00AF06AA">
      <w:pPr>
        <w:pStyle w:val="Paragrafoelenco"/>
        <w:numPr>
          <w:ilvl w:val="0"/>
          <w:numId w:val="33"/>
        </w:numPr>
        <w:spacing w:after="0"/>
        <w:jc w:val="both"/>
      </w:pPr>
      <w:r w:rsidRPr="008337F5">
        <w:t>esecuzione di indagini geologiche, geognostiche, geotecniche e geofisiche;</w:t>
      </w:r>
    </w:p>
    <w:p w14:paraId="22E0A423" w14:textId="77777777" w:rsidR="00AF06AA" w:rsidRPr="008337F5" w:rsidRDefault="001819F3" w:rsidP="00AF06AA">
      <w:pPr>
        <w:pStyle w:val="Paragrafoelenco"/>
        <w:numPr>
          <w:ilvl w:val="0"/>
          <w:numId w:val="33"/>
        </w:numPr>
        <w:spacing w:after="0"/>
        <w:jc w:val="both"/>
      </w:pPr>
      <w:r w:rsidRPr="008337F5">
        <w:t>elaborazioni numeriche di dati;</w:t>
      </w:r>
    </w:p>
    <w:p w14:paraId="1F05AA15" w14:textId="77777777" w:rsidR="00AF06AA" w:rsidRPr="008337F5" w:rsidRDefault="001819F3" w:rsidP="001819F3">
      <w:pPr>
        <w:pStyle w:val="Paragrafoelenco"/>
        <w:numPr>
          <w:ilvl w:val="0"/>
          <w:numId w:val="33"/>
        </w:numPr>
        <w:spacing w:after="0"/>
        <w:jc w:val="both"/>
      </w:pPr>
      <w:r w:rsidRPr="008337F5">
        <w:t>predisposizione di specifici elaborati.</w:t>
      </w:r>
    </w:p>
    <w:p w14:paraId="375AB987" w14:textId="77777777" w:rsidR="002C231D" w:rsidRPr="008337F5" w:rsidRDefault="002C231D" w:rsidP="00AF06AA">
      <w:pPr>
        <w:spacing w:after="0"/>
        <w:jc w:val="both"/>
      </w:pPr>
      <w:r w:rsidRPr="00775332">
        <w:t>La perimetrazione</w:t>
      </w:r>
      <w:r w:rsidRPr="008337F5">
        <w:t xml:space="preserve"> dell'area comunale per la quale deve essere assicurato il completamento dei suddetti servizi è definita</w:t>
      </w:r>
      <w:r w:rsidR="00A15C76" w:rsidRPr="008337F5">
        <w:t xml:space="preserve"> in ottemperanza all’art. 7 comma 4d dell’OCDPC 532/2018</w:t>
      </w:r>
      <w:r w:rsidRPr="008337F5">
        <w:t>, a partire da una proposta del GLSTS,</w:t>
      </w:r>
      <w:r w:rsidR="001B6338" w:rsidRPr="008337F5">
        <w:t xml:space="preserve"> approvata dall’</w:t>
      </w:r>
      <w:r w:rsidRPr="008337F5">
        <w:t>Amministrazione Comunale</w:t>
      </w:r>
      <w:r w:rsidR="001B6338" w:rsidRPr="008337F5">
        <w:t xml:space="preserve"> o modificata su richiesta di questa</w:t>
      </w:r>
      <w:r w:rsidR="00A15C76" w:rsidRPr="008337F5">
        <w:t>. La perimetrazione così definita</w:t>
      </w:r>
      <w:r w:rsidRPr="008337F5">
        <w:t xml:space="preserve"> sarà consegnata all'affidatario dalla Regione Puglia Sez. Protezione Civile, insieme con gli elaborati e la documentazione prodotti dagli studi di Microzonazione Sismica di livello 1.</w:t>
      </w:r>
    </w:p>
    <w:p w14:paraId="2E8C37FA" w14:textId="77777777" w:rsidR="00AF06AA" w:rsidRPr="008337F5" w:rsidRDefault="00AF06AA" w:rsidP="00AF06AA">
      <w:pPr>
        <w:spacing w:after="0"/>
        <w:jc w:val="both"/>
      </w:pPr>
      <w:r w:rsidRPr="008337F5">
        <w:t>Le indagini e gli elaborati di seguito descritti costituiscono il quantitativo minimo richiesto perché lo studio sia ritenuto adeguato.</w:t>
      </w:r>
    </w:p>
    <w:p w14:paraId="544C33AE" w14:textId="77777777" w:rsidR="00AF06AA" w:rsidRPr="008337F5" w:rsidRDefault="00AF06AA" w:rsidP="00AF06AA">
      <w:pPr>
        <w:spacing w:after="0"/>
        <w:jc w:val="both"/>
      </w:pPr>
    </w:p>
    <w:p w14:paraId="0A678D74" w14:textId="77777777" w:rsidR="00AF06AA" w:rsidRPr="008337F5" w:rsidRDefault="00AF06AA" w:rsidP="00AF06AA">
      <w:pPr>
        <w:spacing w:after="0"/>
        <w:jc w:val="both"/>
        <w:rPr>
          <w:b/>
        </w:rPr>
      </w:pPr>
      <w:r w:rsidRPr="008337F5">
        <w:rPr>
          <w:b/>
        </w:rPr>
        <w:t xml:space="preserve">Articolo 2. Attività </w:t>
      </w:r>
    </w:p>
    <w:p w14:paraId="41AA5C8E" w14:textId="77777777" w:rsidR="00AF06AA" w:rsidRPr="008337F5" w:rsidRDefault="00AF06AA" w:rsidP="00AF06AA">
      <w:pPr>
        <w:spacing w:after="0"/>
        <w:jc w:val="both"/>
      </w:pPr>
      <w:r w:rsidRPr="008337F5">
        <w:t>Il servizio prevede la realizzazione delle seguenti attività:</w:t>
      </w:r>
    </w:p>
    <w:p w14:paraId="3FAD7D04" w14:textId="77777777" w:rsidR="00E16FD0" w:rsidRPr="008337F5" w:rsidRDefault="00E16FD0" w:rsidP="00E16FD0">
      <w:pPr>
        <w:pStyle w:val="Paragrafoelenco"/>
        <w:numPr>
          <w:ilvl w:val="0"/>
          <w:numId w:val="34"/>
        </w:numPr>
        <w:spacing w:after="0"/>
        <w:jc w:val="both"/>
      </w:pPr>
      <w:r w:rsidRPr="008337F5">
        <w:t>raccolta ed elaborazione di dati pregressi (col supporto del Comune, presso Enti pubblici e privati quali almeno il Comune stesso, la Provincia, la Regione, l’ANAS, le FF.SS.);</w:t>
      </w:r>
    </w:p>
    <w:p w14:paraId="7DA1DC97" w14:textId="77777777" w:rsidR="00E16FD0" w:rsidRPr="008337F5" w:rsidRDefault="00E16FD0" w:rsidP="00E16FD0">
      <w:pPr>
        <w:pStyle w:val="Paragrafoelenco"/>
        <w:numPr>
          <w:ilvl w:val="0"/>
          <w:numId w:val="34"/>
        </w:numPr>
        <w:spacing w:after="0"/>
        <w:jc w:val="both"/>
      </w:pPr>
      <w:r w:rsidRPr="008337F5">
        <w:t>definizione del piano di indagini integrative;</w:t>
      </w:r>
    </w:p>
    <w:p w14:paraId="45987A67" w14:textId="77777777" w:rsidR="00E16FD0" w:rsidRPr="008337F5" w:rsidRDefault="004B45DE" w:rsidP="00E16FD0">
      <w:pPr>
        <w:pStyle w:val="Paragrafoelenco"/>
        <w:numPr>
          <w:ilvl w:val="0"/>
          <w:numId w:val="34"/>
        </w:numPr>
        <w:spacing w:after="0"/>
        <w:jc w:val="both"/>
      </w:pPr>
      <w:r w:rsidRPr="008337F5">
        <w:t>revisione</w:t>
      </w:r>
      <w:r w:rsidR="00E16FD0" w:rsidRPr="008337F5">
        <w:t xml:space="preserve"> dei rilievi </w:t>
      </w:r>
      <w:r w:rsidRPr="008337F5">
        <w:t xml:space="preserve">geologici di base e </w:t>
      </w:r>
      <w:r w:rsidR="00E16FD0" w:rsidRPr="008337F5">
        <w:t>geologico-tecnici;</w:t>
      </w:r>
    </w:p>
    <w:p w14:paraId="059C8A7A" w14:textId="77777777" w:rsidR="00E16FD0" w:rsidRPr="008337F5" w:rsidRDefault="00E16FD0" w:rsidP="00E16FD0">
      <w:pPr>
        <w:pStyle w:val="Paragrafoelenco"/>
        <w:numPr>
          <w:ilvl w:val="0"/>
          <w:numId w:val="34"/>
        </w:numPr>
        <w:spacing w:after="0"/>
        <w:jc w:val="both"/>
      </w:pPr>
      <w:r w:rsidRPr="008337F5">
        <w:t>esecuzione delle indagini integrative;</w:t>
      </w:r>
    </w:p>
    <w:p w14:paraId="6179219E" w14:textId="77777777" w:rsidR="00E16FD0" w:rsidRPr="008337F5" w:rsidRDefault="00E16FD0" w:rsidP="00E16FD0">
      <w:pPr>
        <w:pStyle w:val="Paragrafoelenco"/>
        <w:numPr>
          <w:ilvl w:val="0"/>
          <w:numId w:val="34"/>
        </w:numPr>
        <w:spacing w:after="0"/>
        <w:jc w:val="both"/>
      </w:pPr>
      <w:r w:rsidRPr="008337F5">
        <w:t>archiviazione dei dati e dei metadati;</w:t>
      </w:r>
    </w:p>
    <w:p w14:paraId="7F0B862F" w14:textId="77777777" w:rsidR="00E16FD0" w:rsidRPr="008337F5" w:rsidRDefault="00E16FD0" w:rsidP="00E16FD0">
      <w:pPr>
        <w:pStyle w:val="Paragrafoelenco"/>
        <w:numPr>
          <w:ilvl w:val="0"/>
          <w:numId w:val="34"/>
        </w:numPr>
        <w:spacing w:after="0"/>
        <w:jc w:val="both"/>
      </w:pPr>
      <w:r w:rsidRPr="008337F5">
        <w:t>realizzazione</w:t>
      </w:r>
      <w:r w:rsidR="002C1F53" w:rsidRPr="008337F5">
        <w:t xml:space="preserve"> </w:t>
      </w:r>
      <w:r w:rsidRPr="008337F5">
        <w:t xml:space="preserve">della Carta delle </w:t>
      </w:r>
      <w:r w:rsidR="00817422" w:rsidRPr="008337F5">
        <w:t>F</w:t>
      </w:r>
      <w:r w:rsidRPr="008337F5">
        <w:t>requenze naturali dei terreni;</w:t>
      </w:r>
    </w:p>
    <w:p w14:paraId="7827A677" w14:textId="77777777" w:rsidR="00E16FD0" w:rsidRPr="008337F5" w:rsidRDefault="00E16FD0" w:rsidP="00E16FD0">
      <w:pPr>
        <w:pStyle w:val="Paragrafoelenco"/>
        <w:numPr>
          <w:ilvl w:val="0"/>
          <w:numId w:val="34"/>
        </w:numPr>
        <w:spacing w:after="0"/>
        <w:jc w:val="both"/>
      </w:pPr>
      <w:r w:rsidRPr="008337F5">
        <w:t xml:space="preserve">revisione della Carta </w:t>
      </w:r>
      <w:r w:rsidR="00817422" w:rsidRPr="008337F5">
        <w:t>G</w:t>
      </w:r>
      <w:r w:rsidRPr="008337F5">
        <w:t>eologico-</w:t>
      </w:r>
      <w:r w:rsidR="00817422" w:rsidRPr="008337F5">
        <w:t>T</w:t>
      </w:r>
      <w:r w:rsidRPr="008337F5">
        <w:t>ecnica (CGT) corredata dalle sezioni geologico-tecniche;</w:t>
      </w:r>
    </w:p>
    <w:p w14:paraId="242A2AED" w14:textId="77777777" w:rsidR="00E16FD0" w:rsidRPr="008337F5" w:rsidRDefault="00E16FD0" w:rsidP="00E16FD0">
      <w:pPr>
        <w:pStyle w:val="Paragrafoelenco"/>
        <w:numPr>
          <w:ilvl w:val="0"/>
          <w:numId w:val="34"/>
        </w:numPr>
        <w:spacing w:after="0"/>
        <w:jc w:val="both"/>
      </w:pPr>
      <w:r w:rsidRPr="008337F5">
        <w:t>definizione del modello di sottosuolo finalizzato allo studio di MS;</w:t>
      </w:r>
    </w:p>
    <w:p w14:paraId="00BD9E25" w14:textId="77777777" w:rsidR="00E16FD0" w:rsidRPr="008337F5" w:rsidRDefault="00E16FD0" w:rsidP="00E16FD0">
      <w:pPr>
        <w:pStyle w:val="Paragrafoelenco"/>
        <w:numPr>
          <w:ilvl w:val="0"/>
          <w:numId w:val="34"/>
        </w:numPr>
        <w:spacing w:after="0"/>
        <w:jc w:val="both"/>
      </w:pPr>
      <w:r w:rsidRPr="008337F5">
        <w:t xml:space="preserve">revisione della Carta delle </w:t>
      </w:r>
      <w:r w:rsidR="00817422" w:rsidRPr="008337F5">
        <w:t>M</w:t>
      </w:r>
      <w:r w:rsidRPr="008337F5">
        <w:t xml:space="preserve">icrozone </w:t>
      </w:r>
      <w:r w:rsidR="00817422" w:rsidRPr="008337F5">
        <w:t>O</w:t>
      </w:r>
      <w:r w:rsidRPr="008337F5">
        <w:t xml:space="preserve">mogenee in </w:t>
      </w:r>
      <w:r w:rsidR="00817422" w:rsidRPr="008337F5">
        <w:t>P</w:t>
      </w:r>
      <w:r w:rsidRPr="008337F5">
        <w:t xml:space="preserve">rospettiva </w:t>
      </w:r>
      <w:r w:rsidR="00817422" w:rsidRPr="008337F5">
        <w:t>S</w:t>
      </w:r>
      <w:r w:rsidRPr="008337F5">
        <w:t>ismica (MOPS);</w:t>
      </w:r>
    </w:p>
    <w:p w14:paraId="05688EF8" w14:textId="77777777" w:rsidR="00E16FD0" w:rsidRPr="008337F5" w:rsidRDefault="002C1F53" w:rsidP="00E16FD0">
      <w:pPr>
        <w:pStyle w:val="Paragrafoelenco"/>
        <w:numPr>
          <w:ilvl w:val="0"/>
          <w:numId w:val="34"/>
        </w:numPr>
        <w:spacing w:after="0"/>
        <w:jc w:val="both"/>
      </w:pPr>
      <w:r w:rsidRPr="008337F5">
        <w:t xml:space="preserve">calcolo della risposta sismica locale mediante abachi o </w:t>
      </w:r>
      <w:r w:rsidR="00E16FD0" w:rsidRPr="008337F5">
        <w:t>analisi numeriche monodimensionali</w:t>
      </w:r>
      <w:r w:rsidR="008325FD" w:rsidRPr="008337F5">
        <w:t xml:space="preserve"> </w:t>
      </w:r>
      <w:bookmarkStart w:id="1" w:name="_Hlk91696208"/>
      <w:r w:rsidR="008325FD" w:rsidRPr="008337F5">
        <w:t>o acquisizione dei risultati di analisi numeriche 2D fornite dal GLSTS</w:t>
      </w:r>
      <w:bookmarkEnd w:id="1"/>
      <w:r w:rsidRPr="008337F5">
        <w:t>;</w:t>
      </w:r>
      <w:r w:rsidR="00E16FD0" w:rsidRPr="008337F5">
        <w:t xml:space="preserve"> </w:t>
      </w:r>
    </w:p>
    <w:p w14:paraId="174162F0" w14:textId="77777777" w:rsidR="00E16FD0" w:rsidRPr="008337F5" w:rsidRDefault="00E16FD0" w:rsidP="00E16FD0">
      <w:pPr>
        <w:pStyle w:val="Paragrafoelenco"/>
        <w:numPr>
          <w:ilvl w:val="0"/>
          <w:numId w:val="34"/>
        </w:numPr>
        <w:spacing w:after="0"/>
        <w:jc w:val="both"/>
      </w:pPr>
      <w:r w:rsidRPr="008337F5">
        <w:t xml:space="preserve">realizzazione delle Carte di </w:t>
      </w:r>
      <w:r w:rsidR="00817422" w:rsidRPr="008337F5">
        <w:t>M</w:t>
      </w:r>
      <w:r w:rsidRPr="008337F5">
        <w:t xml:space="preserve">icrozonazione </w:t>
      </w:r>
      <w:r w:rsidR="00817422" w:rsidRPr="008337F5">
        <w:t>S</w:t>
      </w:r>
      <w:r w:rsidRPr="008337F5">
        <w:t xml:space="preserve">ismica </w:t>
      </w:r>
      <w:r w:rsidR="00817422" w:rsidRPr="008337F5">
        <w:t>(CMS)</w:t>
      </w:r>
      <w:r w:rsidRPr="008337F5">
        <w:t>, con indicazione dei fattori di amplificazione e degli spettri di risposta;</w:t>
      </w:r>
    </w:p>
    <w:p w14:paraId="427D61EB" w14:textId="77777777" w:rsidR="00AF06AA" w:rsidRPr="008337F5" w:rsidRDefault="00E16FD0" w:rsidP="002C1F53">
      <w:pPr>
        <w:pStyle w:val="Paragrafoelenco"/>
        <w:numPr>
          <w:ilvl w:val="0"/>
          <w:numId w:val="34"/>
        </w:numPr>
        <w:spacing w:after="0"/>
        <w:jc w:val="both"/>
      </w:pPr>
      <w:r w:rsidRPr="008337F5">
        <w:t>redazione della Relazione illustrativa.</w:t>
      </w:r>
    </w:p>
    <w:p w14:paraId="5F224EF0" w14:textId="77777777" w:rsidR="00AF06AA" w:rsidRPr="00AC3E88" w:rsidRDefault="00AF06AA" w:rsidP="00AF06AA">
      <w:pPr>
        <w:spacing w:after="0"/>
        <w:jc w:val="both"/>
      </w:pPr>
    </w:p>
    <w:p w14:paraId="423B460C" w14:textId="77777777" w:rsidR="00AF06AA" w:rsidRPr="00AC3E88" w:rsidRDefault="00AF06AA" w:rsidP="00AF06AA">
      <w:pPr>
        <w:spacing w:after="0"/>
        <w:jc w:val="both"/>
        <w:rPr>
          <w:b/>
        </w:rPr>
      </w:pPr>
      <w:r w:rsidRPr="00AC3E88">
        <w:rPr>
          <w:b/>
        </w:rPr>
        <w:t xml:space="preserve">Articolo 3. </w:t>
      </w:r>
      <w:r w:rsidR="002770E3" w:rsidRPr="00AC3E88">
        <w:rPr>
          <w:b/>
        </w:rPr>
        <w:t>Esecuzione del piano di indagini integrative</w:t>
      </w:r>
    </w:p>
    <w:p w14:paraId="76FB13AC" w14:textId="77777777" w:rsidR="007C184D" w:rsidRPr="00AC3E88" w:rsidRDefault="002770E3" w:rsidP="007C184D">
      <w:pPr>
        <w:spacing w:after="0"/>
        <w:jc w:val="both"/>
      </w:pPr>
      <w:r w:rsidRPr="00AC3E88">
        <w:t>In tabella 1 viene riportato l'elenco delle tipologie di indagini eseguibili per la realizzazione di uno studio di MS.</w:t>
      </w:r>
      <w:r w:rsidR="007C184D" w:rsidRPr="00AC3E88">
        <w:t xml:space="preserve"> L’affid</w:t>
      </w:r>
      <w:r w:rsidR="00D22148">
        <w:t xml:space="preserve">atario, in accordo con il </w:t>
      </w:r>
      <w:r w:rsidR="00D22148" w:rsidRPr="00825D2E">
        <w:t>GLSTS e la Sezione Protezione Civile,</w:t>
      </w:r>
      <w:r w:rsidR="007C184D" w:rsidRPr="00825D2E">
        <w:t xml:space="preserve"> definirà</w:t>
      </w:r>
      <w:r w:rsidR="007C184D" w:rsidRPr="00AC3E88">
        <w:t xml:space="preserve"> un piano delle indagini, selezionandole dall’elenco riportato nella suddetta Tabella e definendone la tipologia e il numero minimo </w:t>
      </w:r>
      <w:r w:rsidR="007C184D" w:rsidRPr="00AC3E88">
        <w:lastRenderedPageBreak/>
        <w:t>necessario per la realizzazione dello studio al livello di approfondimento 2 o 3, concordato con il GLSTS in base alla complessità delle condizioni di sito delle diverse microzone. Tale piano verrà presentato entro 45 giorni dalla firma del presente disciplinare al GLSTS (vedi articolo 8), il quale, entro i successivi 15 giorni, in collaborazione con l’affidatario, definirà l’ubicazione definitiva delle indagini da effettuare.</w:t>
      </w:r>
    </w:p>
    <w:p w14:paraId="192E9B1B" w14:textId="77777777" w:rsidR="002770E3" w:rsidRPr="00AC3E88" w:rsidRDefault="002770E3" w:rsidP="002770E3">
      <w:pPr>
        <w:spacing w:after="0"/>
        <w:jc w:val="both"/>
      </w:pPr>
    </w:p>
    <w:p w14:paraId="2C012AC2" w14:textId="77777777" w:rsidR="00DE04B3" w:rsidRPr="00AC3E88" w:rsidRDefault="00DE04B3" w:rsidP="00DE04B3">
      <w:pPr>
        <w:spacing w:after="0"/>
        <w:jc w:val="both"/>
      </w:pPr>
      <w:r w:rsidRPr="00AC3E88">
        <w:rPr>
          <w:b/>
        </w:rPr>
        <w:t>Tabella 1.</w:t>
      </w:r>
      <w:r w:rsidRPr="00AC3E88">
        <w:t xml:space="preserve"> Elenco e tipologia delle indagini funzionali alla realizzazione di uno studio di MS.</w:t>
      </w:r>
    </w:p>
    <w:tbl>
      <w:tblPr>
        <w:tblW w:w="9639" w:type="dxa"/>
        <w:tblInd w:w="-6" w:type="dxa"/>
        <w:tblLayout w:type="fixed"/>
        <w:tblCellMar>
          <w:left w:w="0" w:type="dxa"/>
          <w:right w:w="0" w:type="dxa"/>
        </w:tblCellMar>
        <w:tblLook w:val="01E0" w:firstRow="1" w:lastRow="1" w:firstColumn="1" w:lastColumn="1" w:noHBand="0" w:noVBand="0"/>
      </w:tblPr>
      <w:tblGrid>
        <w:gridCol w:w="426"/>
        <w:gridCol w:w="9213"/>
      </w:tblGrid>
      <w:tr w:rsidR="00AC3E88" w:rsidRPr="00AC3E88" w14:paraId="1CCD9814" w14:textId="77777777" w:rsidTr="003B7A31">
        <w:trPr>
          <w:trHeight w:hRule="exact" w:val="326"/>
          <w:tblHeader/>
        </w:trPr>
        <w:tc>
          <w:tcPr>
            <w:tcW w:w="426" w:type="dxa"/>
            <w:tcBorders>
              <w:top w:val="single" w:sz="5" w:space="0" w:color="000000"/>
              <w:left w:val="single" w:sz="5" w:space="0" w:color="000000"/>
              <w:bottom w:val="single" w:sz="5" w:space="0" w:color="000000"/>
              <w:right w:val="single" w:sz="5" w:space="0" w:color="000000"/>
            </w:tcBorders>
          </w:tcPr>
          <w:p w14:paraId="43D2270C" w14:textId="77777777" w:rsidR="00DE04B3" w:rsidRPr="00AC3E88" w:rsidRDefault="00DE04B3" w:rsidP="003B7A31">
            <w:pPr>
              <w:spacing w:after="0" w:line="240" w:lineRule="auto"/>
            </w:pPr>
          </w:p>
        </w:tc>
        <w:tc>
          <w:tcPr>
            <w:tcW w:w="9213" w:type="dxa"/>
            <w:tcBorders>
              <w:top w:val="single" w:sz="5" w:space="0" w:color="000000"/>
              <w:left w:val="single" w:sz="5" w:space="0" w:color="000000"/>
              <w:bottom w:val="single" w:sz="5" w:space="0" w:color="000000"/>
              <w:right w:val="single" w:sz="5" w:space="0" w:color="000000"/>
            </w:tcBorders>
          </w:tcPr>
          <w:p w14:paraId="7030D7A4" w14:textId="77777777" w:rsidR="00DE04B3" w:rsidRPr="00AC3E88" w:rsidRDefault="00DE04B3" w:rsidP="003B7A31">
            <w:pPr>
              <w:spacing w:after="0" w:line="240" w:lineRule="auto"/>
              <w:ind w:left="64"/>
            </w:pPr>
            <w:r w:rsidRPr="00AC3E88">
              <w:rPr>
                <w:b/>
              </w:rPr>
              <w:t xml:space="preserve">Tipologie di indagine </w:t>
            </w:r>
          </w:p>
        </w:tc>
      </w:tr>
      <w:tr w:rsidR="00AC3E88" w:rsidRPr="00AC3E88" w14:paraId="1E42F812" w14:textId="77777777" w:rsidTr="003B7A31">
        <w:trPr>
          <w:trHeight w:hRule="exact" w:val="278"/>
        </w:trPr>
        <w:tc>
          <w:tcPr>
            <w:tcW w:w="426" w:type="dxa"/>
            <w:tcBorders>
              <w:top w:val="single" w:sz="5" w:space="0" w:color="000000"/>
              <w:left w:val="single" w:sz="5" w:space="0" w:color="000000"/>
              <w:bottom w:val="nil"/>
              <w:right w:val="single" w:sz="5" w:space="0" w:color="000000"/>
            </w:tcBorders>
          </w:tcPr>
          <w:p w14:paraId="16500784" w14:textId="77777777" w:rsidR="00DE04B3" w:rsidRPr="00AC3E88" w:rsidRDefault="00DE04B3" w:rsidP="003B7A31">
            <w:pPr>
              <w:spacing w:after="0" w:line="240" w:lineRule="auto"/>
              <w:ind w:left="64"/>
            </w:pPr>
            <w:r w:rsidRPr="00AC3E88">
              <w:rPr>
                <w:b/>
              </w:rPr>
              <w:t>a.</w:t>
            </w:r>
          </w:p>
        </w:tc>
        <w:tc>
          <w:tcPr>
            <w:tcW w:w="9213" w:type="dxa"/>
            <w:tcBorders>
              <w:top w:val="single" w:sz="5" w:space="0" w:color="000000"/>
              <w:left w:val="single" w:sz="5" w:space="0" w:color="000000"/>
              <w:bottom w:val="nil"/>
              <w:right w:val="single" w:sz="5" w:space="0" w:color="000000"/>
            </w:tcBorders>
          </w:tcPr>
          <w:p w14:paraId="173D1B09" w14:textId="77777777" w:rsidR="00DE04B3" w:rsidRPr="00AC3E88" w:rsidRDefault="00DE04B3" w:rsidP="003B7A31">
            <w:pPr>
              <w:spacing w:after="0" w:line="240" w:lineRule="auto"/>
              <w:ind w:left="64"/>
            </w:pPr>
            <w:r w:rsidRPr="00AC3E88">
              <w:rPr>
                <w:b/>
              </w:rPr>
              <w:t>Indagini geognostiche</w:t>
            </w:r>
          </w:p>
        </w:tc>
      </w:tr>
      <w:tr w:rsidR="00AC3E88" w:rsidRPr="00AC3E88" w14:paraId="44319043" w14:textId="77777777" w:rsidTr="003B7A31">
        <w:trPr>
          <w:trHeight w:hRule="exact" w:val="242"/>
        </w:trPr>
        <w:tc>
          <w:tcPr>
            <w:tcW w:w="426" w:type="dxa"/>
            <w:tcBorders>
              <w:top w:val="nil"/>
              <w:left w:val="single" w:sz="5" w:space="0" w:color="000000"/>
              <w:bottom w:val="nil"/>
              <w:right w:val="single" w:sz="5" w:space="0" w:color="000000"/>
            </w:tcBorders>
          </w:tcPr>
          <w:p w14:paraId="0A338F2D"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77087382" w14:textId="77777777" w:rsidR="00DE04B3" w:rsidRPr="00AC3E88" w:rsidRDefault="00DE04B3" w:rsidP="003B7A31">
            <w:pPr>
              <w:spacing w:after="0" w:line="240" w:lineRule="auto"/>
              <w:ind w:left="64"/>
            </w:pPr>
            <w:r w:rsidRPr="00AC3E88">
              <w:t>S</w:t>
            </w:r>
            <w:r w:rsidRPr="00AC3E88">
              <w:rPr>
                <w:spacing w:val="-1"/>
              </w:rPr>
              <w:t>o</w:t>
            </w:r>
            <w:r w:rsidRPr="00AC3E88">
              <w:rPr>
                <w:spacing w:val="1"/>
              </w:rPr>
              <w:t>nd</w:t>
            </w:r>
            <w:r w:rsidRPr="00AC3E88">
              <w:rPr>
                <w:spacing w:val="-1"/>
              </w:rPr>
              <w:t>ag</w:t>
            </w:r>
            <w:r w:rsidRPr="00AC3E88">
              <w:rPr>
                <w:spacing w:val="1"/>
              </w:rPr>
              <w:t>g</w:t>
            </w:r>
            <w:r w:rsidRPr="00AC3E88">
              <w:t>i a c</w:t>
            </w:r>
            <w:r w:rsidRPr="00AC3E88">
              <w:rPr>
                <w:spacing w:val="-1"/>
              </w:rPr>
              <w:t>ar</w:t>
            </w:r>
            <w:r w:rsidRPr="00AC3E88">
              <w:rPr>
                <w:spacing w:val="1"/>
              </w:rPr>
              <w:t>o</w:t>
            </w:r>
            <w:r w:rsidRPr="00AC3E88">
              <w:rPr>
                <w:spacing w:val="-1"/>
              </w:rPr>
              <w:t>t</w:t>
            </w:r>
            <w:r w:rsidRPr="00AC3E88">
              <w:t>a</w:t>
            </w:r>
            <w:r w:rsidRPr="00AC3E88">
              <w:rPr>
                <w:spacing w:val="-1"/>
              </w:rPr>
              <w:t>g</w:t>
            </w:r>
            <w:r w:rsidRPr="00AC3E88">
              <w:rPr>
                <w:spacing w:val="1"/>
              </w:rPr>
              <w:t>g</w:t>
            </w:r>
            <w:r w:rsidRPr="00AC3E88">
              <w:rPr>
                <w:spacing w:val="-1"/>
              </w:rPr>
              <w:t>i</w:t>
            </w:r>
            <w:r w:rsidRPr="00AC3E88">
              <w:t>o</w:t>
            </w:r>
            <w:r w:rsidRPr="00AC3E88">
              <w:rPr>
                <w:spacing w:val="1"/>
              </w:rPr>
              <w:t xml:space="preserve"> </w:t>
            </w:r>
            <w:r w:rsidRPr="00AC3E88">
              <w:rPr>
                <w:spacing w:val="-1"/>
              </w:rPr>
              <w:t>co</w:t>
            </w:r>
            <w:r w:rsidRPr="00AC3E88">
              <w:rPr>
                <w:spacing w:val="1"/>
              </w:rPr>
              <w:t>n</w:t>
            </w:r>
            <w:r w:rsidRPr="00AC3E88">
              <w:rPr>
                <w:spacing w:val="-1"/>
              </w:rPr>
              <w:t>tin</w:t>
            </w:r>
            <w:r w:rsidRPr="00AC3E88">
              <w:rPr>
                <w:spacing w:val="1"/>
              </w:rPr>
              <w:t>u</w:t>
            </w:r>
            <w:r w:rsidRPr="00AC3E88">
              <w:t xml:space="preserve">o </w:t>
            </w:r>
            <w:r w:rsidRPr="00AC3E88">
              <w:rPr>
                <w:spacing w:val="-1"/>
              </w:rPr>
              <w:t>(</w:t>
            </w:r>
            <w:r w:rsidRPr="00AC3E88">
              <w:rPr>
                <w:spacing w:val="1"/>
              </w:rPr>
              <w:t>p</w:t>
            </w:r>
            <w:r w:rsidRPr="00AC3E88">
              <w:t>re</w:t>
            </w:r>
            <w:r w:rsidRPr="00AC3E88">
              <w:rPr>
                <w:spacing w:val="-1"/>
              </w:rPr>
              <w:t>li</w:t>
            </w:r>
            <w:r w:rsidRPr="00AC3E88">
              <w:t>e</w:t>
            </w:r>
            <w:r w:rsidRPr="00AC3E88">
              <w:rPr>
                <w:spacing w:val="-1"/>
              </w:rPr>
              <w:t>v</w:t>
            </w:r>
            <w:r w:rsidRPr="00AC3E88">
              <w:t xml:space="preserve">o </w:t>
            </w:r>
            <w:r w:rsidRPr="00AC3E88">
              <w:rPr>
                <w:spacing w:val="1"/>
              </w:rPr>
              <w:t>d</w:t>
            </w:r>
            <w:r w:rsidRPr="00AC3E88">
              <w:t>i</w:t>
            </w:r>
            <w:r w:rsidRPr="00AC3E88">
              <w:rPr>
                <w:spacing w:val="-2"/>
              </w:rPr>
              <w:t xml:space="preserve"> </w:t>
            </w:r>
            <w:r w:rsidRPr="00AC3E88">
              <w:t>c</w:t>
            </w:r>
            <w:r w:rsidRPr="00AC3E88">
              <w:rPr>
                <w:spacing w:val="1"/>
              </w:rPr>
              <w:t>a</w:t>
            </w:r>
            <w:r w:rsidRPr="00AC3E88">
              <w:rPr>
                <w:spacing w:val="-2"/>
              </w:rPr>
              <w:t>m</w:t>
            </w:r>
            <w:r w:rsidRPr="00AC3E88">
              <w:rPr>
                <w:spacing w:val="1"/>
              </w:rPr>
              <w:t>p</w:t>
            </w:r>
            <w:r w:rsidRPr="00AC3E88">
              <w:rPr>
                <w:spacing w:val="-1"/>
              </w:rPr>
              <w:t>i</w:t>
            </w:r>
            <w:r w:rsidRPr="00AC3E88">
              <w:rPr>
                <w:spacing w:val="1"/>
              </w:rPr>
              <w:t>on</w:t>
            </w:r>
            <w:r w:rsidRPr="00AC3E88">
              <w:rPr>
                <w:spacing w:val="-1"/>
              </w:rPr>
              <w:t>i</w:t>
            </w:r>
            <w:r w:rsidRPr="00AC3E88">
              <w:t>,</w:t>
            </w:r>
            <w:r w:rsidRPr="00AC3E88">
              <w:rPr>
                <w:spacing w:val="1"/>
              </w:rPr>
              <w:t xml:space="preserve"> </w:t>
            </w:r>
            <w:r w:rsidRPr="00AC3E88">
              <w:rPr>
                <w:spacing w:val="-2"/>
              </w:rPr>
              <w:t>i</w:t>
            </w:r>
            <w:r w:rsidRPr="00AC3E88">
              <w:rPr>
                <w:spacing w:val="1"/>
              </w:rPr>
              <w:t>n</w:t>
            </w:r>
            <w:r w:rsidRPr="00AC3E88">
              <w:t>s</w:t>
            </w:r>
            <w:r w:rsidRPr="00AC3E88">
              <w:rPr>
                <w:spacing w:val="-1"/>
              </w:rPr>
              <w:t>tall</w:t>
            </w:r>
            <w:r w:rsidRPr="00AC3E88">
              <w:t>az</w:t>
            </w:r>
            <w:r w:rsidRPr="00AC3E88">
              <w:rPr>
                <w:spacing w:val="-1"/>
              </w:rPr>
              <w:t>i</w:t>
            </w:r>
            <w:r w:rsidRPr="00AC3E88">
              <w:rPr>
                <w:spacing w:val="1"/>
              </w:rPr>
              <w:t>on</w:t>
            </w:r>
            <w:r w:rsidRPr="00AC3E88">
              <w:t>e</w:t>
            </w:r>
            <w:r w:rsidRPr="00AC3E88">
              <w:rPr>
                <w:spacing w:val="-1"/>
              </w:rPr>
              <w:t xml:space="preserve"> </w:t>
            </w:r>
            <w:r w:rsidRPr="00AC3E88">
              <w:rPr>
                <w:spacing w:val="1"/>
              </w:rPr>
              <w:t>d</w:t>
            </w:r>
            <w:r w:rsidRPr="00AC3E88">
              <w:t xml:space="preserve">i </w:t>
            </w:r>
            <w:r w:rsidRPr="00AC3E88">
              <w:rPr>
                <w:spacing w:val="1"/>
              </w:rPr>
              <w:t>p</w:t>
            </w:r>
            <w:r w:rsidRPr="00AC3E88">
              <w:rPr>
                <w:spacing w:val="-1"/>
              </w:rPr>
              <w:t>i</w:t>
            </w:r>
            <w:r w:rsidRPr="00AC3E88">
              <w:t>e</w:t>
            </w:r>
            <w:r w:rsidRPr="00AC3E88">
              <w:rPr>
                <w:spacing w:val="-1"/>
              </w:rPr>
              <w:t>z</w:t>
            </w:r>
            <w:r w:rsidRPr="00AC3E88">
              <w:rPr>
                <w:spacing w:val="1"/>
              </w:rPr>
              <w:t>o</w:t>
            </w:r>
            <w:r w:rsidRPr="00AC3E88">
              <w:rPr>
                <w:spacing w:val="-2"/>
              </w:rPr>
              <w:t>m</w:t>
            </w:r>
            <w:r w:rsidRPr="00AC3E88">
              <w:t>e</w:t>
            </w:r>
            <w:r w:rsidRPr="00AC3E88">
              <w:rPr>
                <w:spacing w:val="-1"/>
              </w:rPr>
              <w:t>t</w:t>
            </w:r>
            <w:r w:rsidRPr="00AC3E88">
              <w:t>r</w:t>
            </w:r>
            <w:r w:rsidRPr="00AC3E88">
              <w:rPr>
                <w:spacing w:val="-1"/>
              </w:rPr>
              <w:t>i</w:t>
            </w:r>
            <w:r w:rsidR="00E805C3" w:rsidRPr="00AC3E88">
              <w:t>,</w:t>
            </w:r>
            <w:r w:rsidRPr="00AC3E88">
              <w:rPr>
                <w:spacing w:val="1"/>
              </w:rPr>
              <w:t xml:space="preserve"> </w:t>
            </w:r>
            <w:r w:rsidRPr="00AC3E88">
              <w:t>ecc.)</w:t>
            </w:r>
          </w:p>
          <w:p w14:paraId="1A442AFB" w14:textId="77777777" w:rsidR="00DE04B3" w:rsidRPr="00AC3E88" w:rsidRDefault="00DE04B3" w:rsidP="003B7A31">
            <w:pPr>
              <w:spacing w:after="0" w:line="240" w:lineRule="auto"/>
              <w:ind w:left="64"/>
            </w:pPr>
            <w:r w:rsidRPr="00AC3E88">
              <w:t>Pr</w:t>
            </w:r>
            <w:r w:rsidRPr="00AC3E88">
              <w:rPr>
                <w:spacing w:val="-1"/>
              </w:rPr>
              <w:t>o</w:t>
            </w:r>
            <w:r w:rsidRPr="00AC3E88">
              <w:rPr>
                <w:spacing w:val="1"/>
              </w:rPr>
              <w:t>v</w:t>
            </w:r>
            <w:r w:rsidRPr="00AC3E88">
              <w:t>e</w:t>
            </w:r>
            <w:r w:rsidRPr="00AC3E88">
              <w:rPr>
                <w:spacing w:val="-1"/>
              </w:rPr>
              <w:t xml:space="preserve"> </w:t>
            </w:r>
            <w:r w:rsidRPr="00AC3E88">
              <w:rPr>
                <w:spacing w:val="1"/>
              </w:rPr>
              <w:t>p</w:t>
            </w:r>
            <w:r w:rsidRPr="00AC3E88">
              <w:rPr>
                <w:spacing w:val="-1"/>
              </w:rPr>
              <w:t>e</w:t>
            </w:r>
            <w:r w:rsidRPr="00AC3E88">
              <w:rPr>
                <w:spacing w:val="1"/>
              </w:rPr>
              <w:t>n</w:t>
            </w:r>
            <w:r w:rsidRPr="00AC3E88">
              <w:t>e</w:t>
            </w:r>
            <w:r w:rsidRPr="00AC3E88">
              <w:rPr>
                <w:spacing w:val="-1"/>
              </w:rPr>
              <w:t>trom</w:t>
            </w:r>
            <w:r w:rsidRPr="00AC3E88">
              <w:t>e</w:t>
            </w:r>
            <w:r w:rsidRPr="00AC3E88">
              <w:rPr>
                <w:spacing w:val="-1"/>
              </w:rPr>
              <w:t>t</w:t>
            </w:r>
            <w:r w:rsidRPr="00AC3E88">
              <w:t>r</w:t>
            </w:r>
            <w:r w:rsidRPr="00AC3E88">
              <w:rPr>
                <w:spacing w:val="-1"/>
              </w:rPr>
              <w:t>i</w:t>
            </w:r>
            <w:r w:rsidRPr="00AC3E88">
              <w:t>c</w:t>
            </w:r>
            <w:r w:rsidRPr="00AC3E88">
              <w:rPr>
                <w:spacing w:val="1"/>
              </w:rPr>
              <w:t>h</w:t>
            </w:r>
            <w:r w:rsidRPr="00AC3E88">
              <w:t>e s</w:t>
            </w:r>
            <w:r w:rsidRPr="00AC3E88">
              <w:rPr>
                <w:spacing w:val="-1"/>
              </w:rPr>
              <w:t>t</w:t>
            </w:r>
            <w:r w:rsidRPr="00AC3E88">
              <w:t>a</w:t>
            </w:r>
            <w:r w:rsidRPr="00AC3E88">
              <w:rPr>
                <w:spacing w:val="-1"/>
              </w:rPr>
              <w:t>ti</w:t>
            </w:r>
            <w:r w:rsidRPr="00AC3E88">
              <w:t>c</w:t>
            </w:r>
            <w:r w:rsidRPr="00AC3E88">
              <w:rPr>
                <w:spacing w:val="1"/>
              </w:rPr>
              <w:t>h</w:t>
            </w:r>
            <w:r w:rsidRPr="00AC3E88">
              <w:t>e</w:t>
            </w:r>
            <w:r w:rsidRPr="00AC3E88">
              <w:rPr>
                <w:spacing w:val="-1"/>
              </w:rPr>
              <w:t xml:space="preserve"> </w:t>
            </w:r>
            <w:r w:rsidRPr="00AC3E88">
              <w:t>(CPT,</w:t>
            </w:r>
            <w:r w:rsidRPr="00AC3E88">
              <w:rPr>
                <w:spacing w:val="-1"/>
              </w:rPr>
              <w:t xml:space="preserve"> </w:t>
            </w:r>
            <w:r w:rsidRPr="00AC3E88">
              <w:t>CP</w:t>
            </w:r>
            <w:r w:rsidRPr="00AC3E88">
              <w:rPr>
                <w:spacing w:val="-1"/>
              </w:rPr>
              <w:t>T</w:t>
            </w:r>
            <w:r w:rsidRPr="00AC3E88">
              <w:t>E,</w:t>
            </w:r>
            <w:r w:rsidRPr="00AC3E88">
              <w:rPr>
                <w:spacing w:val="1"/>
              </w:rPr>
              <w:t xml:space="preserve"> </w:t>
            </w:r>
            <w:r w:rsidRPr="00AC3E88">
              <w:t>CP</w:t>
            </w:r>
            <w:r w:rsidRPr="00AC3E88">
              <w:rPr>
                <w:spacing w:val="-1"/>
              </w:rPr>
              <w:t>T</w:t>
            </w:r>
            <w:r w:rsidRPr="00AC3E88">
              <w:t>U)</w:t>
            </w:r>
          </w:p>
        </w:tc>
      </w:tr>
      <w:tr w:rsidR="00AC3E88" w:rsidRPr="00AC3E88" w14:paraId="497A1A6A" w14:textId="77777777" w:rsidTr="003B7A31">
        <w:trPr>
          <w:trHeight w:hRule="exact" w:val="230"/>
        </w:trPr>
        <w:tc>
          <w:tcPr>
            <w:tcW w:w="426" w:type="dxa"/>
            <w:tcBorders>
              <w:top w:val="nil"/>
              <w:left w:val="single" w:sz="5" w:space="0" w:color="000000"/>
              <w:bottom w:val="nil"/>
              <w:right w:val="single" w:sz="5" w:space="0" w:color="000000"/>
            </w:tcBorders>
          </w:tcPr>
          <w:p w14:paraId="3C783335"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A513C10" w14:textId="77777777" w:rsidR="00DE04B3" w:rsidRPr="00AC3E88" w:rsidRDefault="00DE04B3" w:rsidP="003B7A31">
            <w:pPr>
              <w:spacing w:after="0" w:line="240" w:lineRule="auto"/>
              <w:ind w:left="64"/>
            </w:pPr>
            <w:r w:rsidRPr="00AC3E88">
              <w:t>Pr</w:t>
            </w:r>
            <w:r w:rsidRPr="00AC3E88">
              <w:rPr>
                <w:spacing w:val="-1"/>
              </w:rPr>
              <w:t>o</w:t>
            </w:r>
            <w:r w:rsidRPr="00AC3E88">
              <w:rPr>
                <w:spacing w:val="1"/>
              </w:rPr>
              <w:t>v</w:t>
            </w:r>
            <w:r w:rsidRPr="00AC3E88">
              <w:t>e</w:t>
            </w:r>
            <w:r w:rsidRPr="00AC3E88">
              <w:rPr>
                <w:spacing w:val="-1"/>
              </w:rPr>
              <w:t xml:space="preserve"> </w:t>
            </w:r>
            <w:r w:rsidRPr="00AC3E88">
              <w:rPr>
                <w:spacing w:val="1"/>
              </w:rPr>
              <w:t>p</w:t>
            </w:r>
            <w:r w:rsidRPr="00AC3E88">
              <w:rPr>
                <w:spacing w:val="-1"/>
              </w:rPr>
              <w:t>e</w:t>
            </w:r>
            <w:r w:rsidRPr="00AC3E88">
              <w:rPr>
                <w:spacing w:val="1"/>
              </w:rPr>
              <w:t>n</w:t>
            </w:r>
            <w:r w:rsidRPr="00AC3E88">
              <w:t>e</w:t>
            </w:r>
            <w:r w:rsidRPr="00AC3E88">
              <w:rPr>
                <w:spacing w:val="-1"/>
              </w:rPr>
              <w:t>trom</w:t>
            </w:r>
            <w:r w:rsidRPr="00AC3E88">
              <w:t>e</w:t>
            </w:r>
            <w:r w:rsidRPr="00AC3E88">
              <w:rPr>
                <w:spacing w:val="-1"/>
              </w:rPr>
              <w:t>t</w:t>
            </w:r>
            <w:r w:rsidRPr="00AC3E88">
              <w:t>r</w:t>
            </w:r>
            <w:r w:rsidRPr="00AC3E88">
              <w:rPr>
                <w:spacing w:val="-1"/>
              </w:rPr>
              <w:t>i</w:t>
            </w:r>
            <w:r w:rsidRPr="00AC3E88">
              <w:t>c</w:t>
            </w:r>
            <w:r w:rsidRPr="00AC3E88">
              <w:rPr>
                <w:spacing w:val="1"/>
              </w:rPr>
              <w:t>h</w:t>
            </w:r>
            <w:r w:rsidRPr="00AC3E88">
              <w:t xml:space="preserve">e </w:t>
            </w:r>
            <w:r w:rsidRPr="00AC3E88">
              <w:rPr>
                <w:spacing w:val="1"/>
              </w:rPr>
              <w:t>d</w:t>
            </w:r>
            <w:r w:rsidRPr="00AC3E88">
              <w:rPr>
                <w:spacing w:val="-1"/>
              </w:rPr>
              <w:t>i</w:t>
            </w:r>
            <w:r w:rsidRPr="00AC3E88">
              <w:rPr>
                <w:spacing w:val="1"/>
              </w:rPr>
              <w:t>n</w:t>
            </w:r>
            <w:r w:rsidRPr="00AC3E88">
              <w:rPr>
                <w:spacing w:val="-1"/>
              </w:rPr>
              <w:t>ami</w:t>
            </w:r>
            <w:r w:rsidRPr="00AC3E88">
              <w:t>c</w:t>
            </w:r>
            <w:r w:rsidRPr="00AC3E88">
              <w:rPr>
                <w:spacing w:val="1"/>
              </w:rPr>
              <w:t>h</w:t>
            </w:r>
            <w:r w:rsidRPr="00AC3E88">
              <w:t>e (SP</w:t>
            </w:r>
            <w:r w:rsidRPr="00AC3E88">
              <w:rPr>
                <w:spacing w:val="-1"/>
              </w:rPr>
              <w:t>T</w:t>
            </w:r>
            <w:r w:rsidRPr="00AC3E88">
              <w:t>,</w:t>
            </w:r>
            <w:r w:rsidRPr="00AC3E88">
              <w:rPr>
                <w:spacing w:val="1"/>
              </w:rPr>
              <w:t xml:space="preserve"> </w:t>
            </w:r>
            <w:r w:rsidRPr="00AC3E88">
              <w:rPr>
                <w:spacing w:val="-1"/>
              </w:rPr>
              <w:t>su</w:t>
            </w:r>
            <w:r w:rsidRPr="00AC3E88">
              <w:rPr>
                <w:spacing w:val="1"/>
              </w:rPr>
              <w:t>p</w:t>
            </w:r>
            <w:r w:rsidRPr="00AC3E88">
              <w:t>er</w:t>
            </w:r>
            <w:r w:rsidRPr="00AC3E88">
              <w:rPr>
                <w:spacing w:val="-1"/>
              </w:rPr>
              <w:t xml:space="preserve"> </w:t>
            </w:r>
            <w:r w:rsidRPr="00AC3E88">
              <w:rPr>
                <w:spacing w:val="1"/>
              </w:rPr>
              <w:t>p</w:t>
            </w:r>
            <w:r w:rsidRPr="00AC3E88">
              <w:t>es</w:t>
            </w:r>
            <w:r w:rsidRPr="00AC3E88">
              <w:rPr>
                <w:spacing w:val="-1"/>
              </w:rPr>
              <w:t>a</w:t>
            </w:r>
            <w:r w:rsidRPr="00AC3E88">
              <w:rPr>
                <w:spacing w:val="1"/>
              </w:rPr>
              <w:t>n</w:t>
            </w:r>
            <w:r w:rsidRPr="00AC3E88">
              <w:rPr>
                <w:spacing w:val="-1"/>
              </w:rPr>
              <w:t>t</w:t>
            </w:r>
            <w:r w:rsidRPr="00AC3E88">
              <w:t>e,</w:t>
            </w:r>
            <w:r w:rsidRPr="00AC3E88">
              <w:rPr>
                <w:spacing w:val="-1"/>
              </w:rPr>
              <w:t xml:space="preserve"> </w:t>
            </w:r>
            <w:r w:rsidRPr="00AC3E88">
              <w:rPr>
                <w:spacing w:val="1"/>
              </w:rPr>
              <w:t>p</w:t>
            </w:r>
            <w:r w:rsidRPr="00AC3E88">
              <w:rPr>
                <w:spacing w:val="-1"/>
              </w:rPr>
              <w:t>e</w:t>
            </w:r>
            <w:r w:rsidRPr="00AC3E88">
              <w:t>sa</w:t>
            </w:r>
            <w:r w:rsidRPr="00AC3E88">
              <w:rPr>
                <w:spacing w:val="1"/>
              </w:rPr>
              <w:t>n</w:t>
            </w:r>
            <w:r w:rsidRPr="00AC3E88">
              <w:rPr>
                <w:spacing w:val="-1"/>
              </w:rPr>
              <w:t>t</w:t>
            </w:r>
            <w:r w:rsidRPr="00AC3E88">
              <w:t xml:space="preserve">e e </w:t>
            </w:r>
            <w:r w:rsidRPr="00AC3E88">
              <w:rPr>
                <w:spacing w:val="-2"/>
              </w:rPr>
              <w:t>m</w:t>
            </w:r>
            <w:r w:rsidRPr="00AC3E88">
              <w:t>e</w:t>
            </w:r>
            <w:r w:rsidRPr="00AC3E88">
              <w:rPr>
                <w:spacing w:val="1"/>
              </w:rPr>
              <w:t>d</w:t>
            </w:r>
            <w:r w:rsidRPr="00AC3E88">
              <w:rPr>
                <w:spacing w:val="-1"/>
              </w:rPr>
              <w:t>i</w:t>
            </w:r>
            <w:r w:rsidRPr="00AC3E88">
              <w:t>a)</w:t>
            </w:r>
          </w:p>
        </w:tc>
      </w:tr>
      <w:tr w:rsidR="00AC3E88" w:rsidRPr="00AC3E88" w14:paraId="1708A5F6" w14:textId="77777777" w:rsidTr="003B7A31">
        <w:trPr>
          <w:trHeight w:hRule="exact" w:val="230"/>
        </w:trPr>
        <w:tc>
          <w:tcPr>
            <w:tcW w:w="426" w:type="dxa"/>
            <w:tcBorders>
              <w:top w:val="nil"/>
              <w:left w:val="single" w:sz="5" w:space="0" w:color="000000"/>
              <w:bottom w:val="nil"/>
              <w:right w:val="single" w:sz="5" w:space="0" w:color="000000"/>
            </w:tcBorders>
          </w:tcPr>
          <w:p w14:paraId="6C541DDC"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720A7A74" w14:textId="77777777" w:rsidR="00DE04B3" w:rsidRPr="00AC3E88" w:rsidRDefault="00DE04B3" w:rsidP="003B7A31">
            <w:pPr>
              <w:spacing w:after="0" w:line="240" w:lineRule="auto"/>
              <w:ind w:left="64"/>
            </w:pPr>
            <w:r w:rsidRPr="00AC3E88">
              <w:t>Prove penetrometriche statiche con punta elettrica (CPTE)</w:t>
            </w:r>
          </w:p>
        </w:tc>
      </w:tr>
      <w:tr w:rsidR="00AC3E88" w:rsidRPr="00AC3E88" w14:paraId="4FCFC447" w14:textId="77777777" w:rsidTr="003B7A31">
        <w:trPr>
          <w:trHeight w:hRule="exact" w:val="230"/>
        </w:trPr>
        <w:tc>
          <w:tcPr>
            <w:tcW w:w="426" w:type="dxa"/>
            <w:tcBorders>
              <w:top w:val="nil"/>
              <w:left w:val="single" w:sz="5" w:space="0" w:color="000000"/>
              <w:bottom w:val="nil"/>
              <w:right w:val="single" w:sz="5" w:space="0" w:color="000000"/>
            </w:tcBorders>
          </w:tcPr>
          <w:p w14:paraId="41D37E8C"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9AA92D4" w14:textId="77777777" w:rsidR="00DE04B3" w:rsidRPr="00AC3E88" w:rsidRDefault="00DE04B3" w:rsidP="003B7A31">
            <w:pPr>
              <w:spacing w:after="0" w:line="240" w:lineRule="auto"/>
              <w:ind w:left="64"/>
            </w:pPr>
            <w:r w:rsidRPr="00AC3E88">
              <w:t>Pr</w:t>
            </w:r>
            <w:r w:rsidRPr="00AC3E88">
              <w:rPr>
                <w:spacing w:val="-1"/>
              </w:rPr>
              <w:t>o</w:t>
            </w:r>
            <w:r w:rsidRPr="00AC3E88">
              <w:rPr>
                <w:spacing w:val="1"/>
              </w:rPr>
              <w:t>v</w:t>
            </w:r>
            <w:r w:rsidRPr="00AC3E88">
              <w:t>e</w:t>
            </w:r>
            <w:r w:rsidRPr="00AC3E88">
              <w:rPr>
                <w:spacing w:val="-1"/>
              </w:rPr>
              <w:t xml:space="preserve"> </w:t>
            </w:r>
            <w:r w:rsidRPr="00AC3E88">
              <w:rPr>
                <w:spacing w:val="1"/>
              </w:rPr>
              <w:t>d</w:t>
            </w:r>
            <w:r w:rsidRPr="00AC3E88">
              <w:rPr>
                <w:spacing w:val="-1"/>
              </w:rPr>
              <w:t>il</w:t>
            </w:r>
            <w:r w:rsidRPr="00AC3E88">
              <w:t>a</w:t>
            </w:r>
            <w:r w:rsidRPr="00AC3E88">
              <w:rPr>
                <w:spacing w:val="-1"/>
              </w:rPr>
              <w:t>t</w:t>
            </w:r>
            <w:r w:rsidRPr="00AC3E88">
              <w:rPr>
                <w:spacing w:val="1"/>
              </w:rPr>
              <w:t>o</w:t>
            </w:r>
            <w:r w:rsidRPr="00AC3E88">
              <w:rPr>
                <w:spacing w:val="-2"/>
              </w:rPr>
              <w:t>m</w:t>
            </w:r>
            <w:r w:rsidRPr="00AC3E88">
              <w:rPr>
                <w:spacing w:val="1"/>
              </w:rPr>
              <w:t>e</w:t>
            </w:r>
            <w:r w:rsidRPr="00AC3E88">
              <w:rPr>
                <w:spacing w:val="-1"/>
              </w:rPr>
              <w:t>t</w:t>
            </w:r>
            <w:r w:rsidRPr="00AC3E88">
              <w:t>r</w:t>
            </w:r>
            <w:r w:rsidRPr="00AC3E88">
              <w:rPr>
                <w:spacing w:val="-1"/>
              </w:rPr>
              <w:t>i</w:t>
            </w:r>
            <w:r w:rsidRPr="00AC3E88">
              <w:t>c</w:t>
            </w:r>
            <w:r w:rsidRPr="00AC3E88">
              <w:rPr>
                <w:spacing w:val="1"/>
              </w:rPr>
              <w:t>h</w:t>
            </w:r>
            <w:r w:rsidRPr="00AC3E88">
              <w:t>e (</w:t>
            </w:r>
            <w:r w:rsidRPr="00AC3E88">
              <w:rPr>
                <w:spacing w:val="-1"/>
              </w:rPr>
              <w:t>Ma</w:t>
            </w:r>
            <w:r w:rsidRPr="00AC3E88">
              <w:t>rc</w:t>
            </w:r>
            <w:r w:rsidRPr="00AC3E88">
              <w:rPr>
                <w:spacing w:val="-1"/>
              </w:rPr>
              <w:t>hetti</w:t>
            </w:r>
            <w:r w:rsidRPr="00AC3E88">
              <w:t>)</w:t>
            </w:r>
          </w:p>
        </w:tc>
      </w:tr>
      <w:tr w:rsidR="00AC3E88" w:rsidRPr="00AC3E88" w14:paraId="48C24A2A" w14:textId="77777777" w:rsidTr="003B7A31">
        <w:trPr>
          <w:trHeight w:hRule="exact" w:val="230"/>
        </w:trPr>
        <w:tc>
          <w:tcPr>
            <w:tcW w:w="426" w:type="dxa"/>
            <w:tcBorders>
              <w:top w:val="nil"/>
              <w:left w:val="single" w:sz="5" w:space="0" w:color="000000"/>
              <w:bottom w:val="nil"/>
              <w:right w:val="single" w:sz="5" w:space="0" w:color="000000"/>
            </w:tcBorders>
          </w:tcPr>
          <w:p w14:paraId="70A9BBE5"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3A9A33CE" w14:textId="77777777" w:rsidR="00DE04B3" w:rsidRPr="00AC3E88" w:rsidRDefault="00DE04B3" w:rsidP="003B7A31">
            <w:pPr>
              <w:spacing w:after="0" w:line="240" w:lineRule="auto"/>
              <w:ind w:left="64"/>
            </w:pPr>
            <w:r w:rsidRPr="00AC3E88">
              <w:t>Pr</w:t>
            </w:r>
            <w:r w:rsidRPr="00AC3E88">
              <w:rPr>
                <w:spacing w:val="-1"/>
              </w:rPr>
              <w:t>o</w:t>
            </w:r>
            <w:r w:rsidRPr="00AC3E88">
              <w:rPr>
                <w:spacing w:val="1"/>
              </w:rPr>
              <w:t>v</w:t>
            </w:r>
            <w:r w:rsidRPr="00AC3E88">
              <w:t>e</w:t>
            </w:r>
            <w:r w:rsidRPr="00AC3E88">
              <w:rPr>
                <w:spacing w:val="-1"/>
              </w:rPr>
              <w:t xml:space="preserve"> </w:t>
            </w:r>
            <w:r w:rsidRPr="00AC3E88">
              <w:t>sc</w:t>
            </w:r>
            <w:r w:rsidRPr="00AC3E88">
              <w:rPr>
                <w:spacing w:val="-1"/>
              </w:rPr>
              <w:t>i</w:t>
            </w:r>
            <w:r w:rsidRPr="00AC3E88">
              <w:t>ss</w:t>
            </w:r>
            <w:r w:rsidRPr="00AC3E88">
              <w:rPr>
                <w:spacing w:val="1"/>
              </w:rPr>
              <w:t>o</w:t>
            </w:r>
            <w:r w:rsidRPr="00AC3E88">
              <w:rPr>
                <w:spacing w:val="-2"/>
              </w:rPr>
              <w:t>m</w:t>
            </w:r>
            <w:r w:rsidRPr="00AC3E88">
              <w:t>e</w:t>
            </w:r>
            <w:r w:rsidRPr="00AC3E88">
              <w:rPr>
                <w:spacing w:val="-1"/>
              </w:rPr>
              <w:t>t</w:t>
            </w:r>
            <w:r w:rsidRPr="00AC3E88">
              <w:t>r</w:t>
            </w:r>
            <w:r w:rsidRPr="00AC3E88">
              <w:rPr>
                <w:spacing w:val="-1"/>
              </w:rPr>
              <w:t>i</w:t>
            </w:r>
            <w:r w:rsidRPr="00AC3E88">
              <w:t>c</w:t>
            </w:r>
            <w:r w:rsidRPr="00AC3E88">
              <w:rPr>
                <w:spacing w:val="1"/>
              </w:rPr>
              <w:t>h</w:t>
            </w:r>
            <w:r w:rsidRPr="00AC3E88">
              <w:t>e o</w:t>
            </w:r>
            <w:r w:rsidRPr="00AC3E88">
              <w:rPr>
                <w:spacing w:val="1"/>
              </w:rPr>
              <w:t xml:space="preserve"> </w:t>
            </w:r>
            <w:r w:rsidRPr="00AC3E88">
              <w:rPr>
                <w:i/>
                <w:spacing w:val="-1"/>
              </w:rPr>
              <w:t>v</w:t>
            </w:r>
            <w:r w:rsidRPr="00AC3E88">
              <w:rPr>
                <w:i/>
                <w:spacing w:val="1"/>
              </w:rPr>
              <w:t>an</w:t>
            </w:r>
            <w:r w:rsidRPr="00AC3E88">
              <w:rPr>
                <w:i/>
              </w:rPr>
              <w:t>e</w:t>
            </w:r>
            <w:r w:rsidRPr="00AC3E88">
              <w:rPr>
                <w:i/>
                <w:spacing w:val="-1"/>
              </w:rPr>
              <w:t xml:space="preserve"> t</w:t>
            </w:r>
            <w:r w:rsidRPr="00AC3E88">
              <w:rPr>
                <w:i/>
              </w:rPr>
              <w:t>est</w:t>
            </w:r>
          </w:p>
        </w:tc>
      </w:tr>
      <w:tr w:rsidR="00AC3E88" w:rsidRPr="00AC3E88" w14:paraId="690A7E5D" w14:textId="77777777" w:rsidTr="003B7A31">
        <w:trPr>
          <w:trHeight w:hRule="exact" w:val="232"/>
        </w:trPr>
        <w:tc>
          <w:tcPr>
            <w:tcW w:w="426" w:type="dxa"/>
            <w:tcBorders>
              <w:top w:val="nil"/>
              <w:left w:val="single" w:sz="5" w:space="0" w:color="000000"/>
              <w:bottom w:val="single" w:sz="5" w:space="0" w:color="000000"/>
              <w:right w:val="single" w:sz="5" w:space="0" w:color="000000"/>
            </w:tcBorders>
          </w:tcPr>
          <w:p w14:paraId="60A40F6A" w14:textId="77777777" w:rsidR="00DE04B3" w:rsidRPr="00AC3E88" w:rsidRDefault="00DE04B3" w:rsidP="003B7A31">
            <w:pPr>
              <w:spacing w:after="0" w:line="240" w:lineRule="auto"/>
            </w:pPr>
          </w:p>
        </w:tc>
        <w:tc>
          <w:tcPr>
            <w:tcW w:w="9213" w:type="dxa"/>
            <w:tcBorders>
              <w:top w:val="nil"/>
              <w:left w:val="single" w:sz="5" w:space="0" w:color="000000"/>
              <w:bottom w:val="single" w:sz="5" w:space="0" w:color="000000"/>
              <w:right w:val="single" w:sz="5" w:space="0" w:color="000000"/>
            </w:tcBorders>
          </w:tcPr>
          <w:p w14:paraId="10F02D67" w14:textId="77777777" w:rsidR="00DE04B3" w:rsidRPr="00AC3E88" w:rsidRDefault="00DE04B3" w:rsidP="003B7A31">
            <w:pPr>
              <w:spacing w:after="0" w:line="240" w:lineRule="auto"/>
              <w:ind w:left="64"/>
            </w:pPr>
            <w:r w:rsidRPr="00AC3E88">
              <w:t>Pr</w:t>
            </w:r>
            <w:r w:rsidRPr="00AC3E88">
              <w:rPr>
                <w:spacing w:val="-1"/>
              </w:rPr>
              <w:t>o</w:t>
            </w:r>
            <w:r w:rsidRPr="00AC3E88">
              <w:rPr>
                <w:spacing w:val="1"/>
              </w:rPr>
              <w:t>v</w:t>
            </w:r>
            <w:r w:rsidRPr="00AC3E88">
              <w:t>e</w:t>
            </w:r>
            <w:r w:rsidRPr="00AC3E88">
              <w:rPr>
                <w:spacing w:val="-1"/>
              </w:rPr>
              <w:t xml:space="preserve"> p</w:t>
            </w:r>
            <w:r w:rsidRPr="00AC3E88">
              <w:t>ress</w:t>
            </w:r>
            <w:r w:rsidRPr="00AC3E88">
              <w:rPr>
                <w:spacing w:val="-1"/>
              </w:rPr>
              <w:t>iom</w:t>
            </w:r>
            <w:r w:rsidRPr="00AC3E88">
              <w:t>e</w:t>
            </w:r>
            <w:r w:rsidRPr="00AC3E88">
              <w:rPr>
                <w:spacing w:val="-1"/>
              </w:rPr>
              <w:t>t</w:t>
            </w:r>
            <w:r w:rsidRPr="00AC3E88">
              <w:t>r</w:t>
            </w:r>
            <w:r w:rsidRPr="00AC3E88">
              <w:rPr>
                <w:spacing w:val="-1"/>
              </w:rPr>
              <w:t>i</w:t>
            </w:r>
            <w:r w:rsidRPr="00AC3E88">
              <w:t>c</w:t>
            </w:r>
            <w:r w:rsidRPr="00AC3E88">
              <w:rPr>
                <w:spacing w:val="1"/>
              </w:rPr>
              <w:t>h</w:t>
            </w:r>
            <w:r w:rsidRPr="00AC3E88">
              <w:t>e</w:t>
            </w:r>
          </w:p>
        </w:tc>
      </w:tr>
      <w:tr w:rsidR="00AC3E88" w:rsidRPr="00AC3E88" w14:paraId="5B985AD5" w14:textId="77777777" w:rsidTr="003B7A31">
        <w:trPr>
          <w:trHeight w:hRule="exact" w:val="610"/>
        </w:trPr>
        <w:tc>
          <w:tcPr>
            <w:tcW w:w="426" w:type="dxa"/>
            <w:tcBorders>
              <w:top w:val="single" w:sz="5" w:space="0" w:color="000000"/>
              <w:left w:val="single" w:sz="5" w:space="0" w:color="000000"/>
              <w:bottom w:val="nil"/>
              <w:right w:val="single" w:sz="5" w:space="0" w:color="000000"/>
            </w:tcBorders>
          </w:tcPr>
          <w:p w14:paraId="529EAD98" w14:textId="77777777" w:rsidR="00DE04B3" w:rsidRPr="00AC3E88" w:rsidRDefault="00DE04B3" w:rsidP="003B7A31">
            <w:pPr>
              <w:spacing w:after="0" w:line="240" w:lineRule="auto"/>
              <w:ind w:left="64"/>
            </w:pPr>
            <w:r w:rsidRPr="00AC3E88">
              <w:rPr>
                <w:b/>
                <w:spacing w:val="1"/>
              </w:rPr>
              <w:t>b</w:t>
            </w:r>
            <w:r w:rsidRPr="00AC3E88">
              <w:rPr>
                <w:b/>
              </w:rPr>
              <w:t>.</w:t>
            </w:r>
          </w:p>
        </w:tc>
        <w:tc>
          <w:tcPr>
            <w:tcW w:w="9213" w:type="dxa"/>
            <w:tcBorders>
              <w:top w:val="single" w:sz="5" w:space="0" w:color="000000"/>
              <w:left w:val="single" w:sz="5" w:space="0" w:color="000000"/>
              <w:bottom w:val="nil"/>
              <w:right w:val="single" w:sz="5" w:space="0" w:color="000000"/>
            </w:tcBorders>
          </w:tcPr>
          <w:p w14:paraId="2C768B11" w14:textId="77777777" w:rsidR="00DE04B3" w:rsidRPr="00AC3E88" w:rsidRDefault="00DE04B3" w:rsidP="003B7A31">
            <w:pPr>
              <w:spacing w:after="0" w:line="240" w:lineRule="auto"/>
              <w:ind w:left="62"/>
              <w:rPr>
                <w:b/>
              </w:rPr>
            </w:pPr>
            <w:r w:rsidRPr="00AC3E88">
              <w:rPr>
                <w:b/>
              </w:rPr>
              <w:t>Ind</w:t>
            </w:r>
            <w:r w:rsidRPr="00AC3E88">
              <w:rPr>
                <w:b/>
                <w:spacing w:val="-1"/>
              </w:rPr>
              <w:t>a</w:t>
            </w:r>
            <w:r w:rsidRPr="00AC3E88">
              <w:rPr>
                <w:b/>
                <w:spacing w:val="1"/>
              </w:rPr>
              <w:t>g</w:t>
            </w:r>
            <w:r w:rsidRPr="00AC3E88">
              <w:rPr>
                <w:b/>
                <w:spacing w:val="-1"/>
              </w:rPr>
              <w:t>i</w:t>
            </w:r>
            <w:r w:rsidRPr="00AC3E88">
              <w:rPr>
                <w:b/>
              </w:rPr>
              <w:t>ni</w:t>
            </w:r>
            <w:r w:rsidRPr="00AC3E88">
              <w:rPr>
                <w:b/>
                <w:spacing w:val="-1"/>
              </w:rPr>
              <w:t xml:space="preserve"> </w:t>
            </w:r>
            <w:r w:rsidRPr="00AC3E88">
              <w:rPr>
                <w:b/>
                <w:spacing w:val="1"/>
              </w:rPr>
              <w:t>g</w:t>
            </w:r>
            <w:r w:rsidRPr="00AC3E88">
              <w:rPr>
                <w:b/>
                <w:spacing w:val="-1"/>
              </w:rPr>
              <w:t>e</w:t>
            </w:r>
            <w:r w:rsidRPr="00AC3E88">
              <w:rPr>
                <w:b/>
                <w:spacing w:val="1"/>
              </w:rPr>
              <w:t>o</w:t>
            </w:r>
            <w:r w:rsidRPr="00AC3E88">
              <w:rPr>
                <w:b/>
                <w:spacing w:val="-1"/>
              </w:rPr>
              <w:t>lo</w:t>
            </w:r>
            <w:r w:rsidRPr="00AC3E88">
              <w:rPr>
                <w:b/>
                <w:spacing w:val="1"/>
              </w:rPr>
              <w:t>g</w:t>
            </w:r>
            <w:r w:rsidRPr="00AC3E88">
              <w:rPr>
                <w:b/>
                <w:spacing w:val="-1"/>
              </w:rPr>
              <w:t>i</w:t>
            </w:r>
            <w:r w:rsidRPr="00AC3E88">
              <w:rPr>
                <w:b/>
              </w:rPr>
              <w:t>che</w:t>
            </w:r>
          </w:p>
          <w:p w14:paraId="5AC1E5C3" w14:textId="77777777" w:rsidR="00DE04B3" w:rsidRPr="00AC3E88" w:rsidRDefault="00DE04B3" w:rsidP="003B7A31">
            <w:pPr>
              <w:spacing w:after="0" w:line="240" w:lineRule="auto"/>
              <w:ind w:left="62"/>
              <w:rPr>
                <w:b/>
              </w:rPr>
            </w:pPr>
            <w:r w:rsidRPr="00AC3E88">
              <w:t>Rilievi geologici, geomorfologici e geomeccanici</w:t>
            </w:r>
          </w:p>
        </w:tc>
      </w:tr>
      <w:tr w:rsidR="00AC3E88" w:rsidRPr="00AC3E88" w14:paraId="008D4CCF" w14:textId="77777777" w:rsidTr="003B7A31">
        <w:trPr>
          <w:trHeight w:hRule="exact" w:val="278"/>
        </w:trPr>
        <w:tc>
          <w:tcPr>
            <w:tcW w:w="426" w:type="dxa"/>
            <w:tcBorders>
              <w:top w:val="single" w:sz="5" w:space="0" w:color="000000"/>
              <w:left w:val="single" w:sz="5" w:space="0" w:color="000000"/>
              <w:bottom w:val="nil"/>
              <w:right w:val="single" w:sz="5" w:space="0" w:color="000000"/>
            </w:tcBorders>
          </w:tcPr>
          <w:p w14:paraId="7EE173EB" w14:textId="77777777" w:rsidR="00DE04B3" w:rsidRPr="00AC3E88" w:rsidRDefault="00DE04B3" w:rsidP="003B7A31">
            <w:pPr>
              <w:spacing w:after="0" w:line="240" w:lineRule="auto"/>
              <w:ind w:left="64"/>
            </w:pPr>
            <w:r w:rsidRPr="00AC3E88">
              <w:rPr>
                <w:b/>
                <w:spacing w:val="1"/>
              </w:rPr>
              <w:t>c</w:t>
            </w:r>
            <w:r w:rsidRPr="00AC3E88">
              <w:rPr>
                <w:b/>
              </w:rPr>
              <w:t>.</w:t>
            </w:r>
          </w:p>
        </w:tc>
        <w:tc>
          <w:tcPr>
            <w:tcW w:w="9213" w:type="dxa"/>
            <w:tcBorders>
              <w:top w:val="single" w:sz="5" w:space="0" w:color="000000"/>
              <w:left w:val="single" w:sz="5" w:space="0" w:color="000000"/>
              <w:bottom w:val="nil"/>
              <w:right w:val="single" w:sz="5" w:space="0" w:color="000000"/>
            </w:tcBorders>
          </w:tcPr>
          <w:p w14:paraId="2A28F6B5" w14:textId="77777777" w:rsidR="00DE04B3" w:rsidRPr="00AC3E88" w:rsidRDefault="00DE04B3" w:rsidP="003B7A31">
            <w:pPr>
              <w:spacing w:after="0" w:line="240" w:lineRule="auto"/>
              <w:ind w:left="64"/>
            </w:pPr>
            <w:r w:rsidRPr="00AC3E88">
              <w:rPr>
                <w:b/>
              </w:rPr>
              <w:t>Ind</w:t>
            </w:r>
            <w:r w:rsidRPr="00AC3E88">
              <w:rPr>
                <w:b/>
                <w:spacing w:val="-1"/>
              </w:rPr>
              <w:t>a</w:t>
            </w:r>
            <w:r w:rsidRPr="00AC3E88">
              <w:rPr>
                <w:b/>
                <w:spacing w:val="1"/>
              </w:rPr>
              <w:t>g</w:t>
            </w:r>
            <w:r w:rsidRPr="00AC3E88">
              <w:rPr>
                <w:b/>
                <w:spacing w:val="-1"/>
              </w:rPr>
              <w:t>i</w:t>
            </w:r>
            <w:r w:rsidRPr="00AC3E88">
              <w:rPr>
                <w:b/>
              </w:rPr>
              <w:t>ni</w:t>
            </w:r>
            <w:r w:rsidRPr="00AC3E88">
              <w:rPr>
                <w:b/>
                <w:spacing w:val="-2"/>
              </w:rPr>
              <w:t xml:space="preserve"> </w:t>
            </w:r>
            <w:r w:rsidRPr="00AC3E88">
              <w:rPr>
                <w:b/>
                <w:spacing w:val="1"/>
              </w:rPr>
              <w:t>g</w:t>
            </w:r>
            <w:r w:rsidRPr="00AC3E88">
              <w:rPr>
                <w:b/>
                <w:spacing w:val="-1"/>
              </w:rPr>
              <w:t>e</w:t>
            </w:r>
            <w:r w:rsidRPr="00AC3E88">
              <w:rPr>
                <w:b/>
                <w:spacing w:val="1"/>
              </w:rPr>
              <w:t>o</w:t>
            </w:r>
            <w:r w:rsidRPr="00AC3E88">
              <w:rPr>
                <w:b/>
              </w:rPr>
              <w:t>f</w:t>
            </w:r>
            <w:r w:rsidRPr="00AC3E88">
              <w:rPr>
                <w:b/>
                <w:spacing w:val="-2"/>
              </w:rPr>
              <w:t>i</w:t>
            </w:r>
            <w:r w:rsidRPr="00AC3E88">
              <w:rPr>
                <w:b/>
              </w:rPr>
              <w:t>s</w:t>
            </w:r>
            <w:r w:rsidRPr="00AC3E88">
              <w:rPr>
                <w:b/>
                <w:spacing w:val="-1"/>
              </w:rPr>
              <w:t>i</w:t>
            </w:r>
            <w:r w:rsidRPr="00AC3E88">
              <w:rPr>
                <w:b/>
              </w:rPr>
              <w:t>che</w:t>
            </w:r>
          </w:p>
        </w:tc>
      </w:tr>
      <w:tr w:rsidR="00AC3E88" w:rsidRPr="00AC3E88" w14:paraId="3CB99FD6" w14:textId="77777777" w:rsidTr="003B7A31">
        <w:trPr>
          <w:trHeight w:hRule="exact" w:val="242"/>
        </w:trPr>
        <w:tc>
          <w:tcPr>
            <w:tcW w:w="426" w:type="dxa"/>
            <w:tcBorders>
              <w:top w:val="nil"/>
              <w:left w:val="single" w:sz="5" w:space="0" w:color="000000"/>
              <w:bottom w:val="nil"/>
              <w:right w:val="single" w:sz="5" w:space="0" w:color="000000"/>
            </w:tcBorders>
          </w:tcPr>
          <w:p w14:paraId="47C84683"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945FAF6" w14:textId="77777777" w:rsidR="00DE04B3" w:rsidRPr="00AC3E88" w:rsidRDefault="00DE04B3" w:rsidP="003B7A31">
            <w:pPr>
              <w:spacing w:after="0" w:line="240" w:lineRule="auto"/>
              <w:ind w:left="64"/>
            </w:pPr>
            <w:r w:rsidRPr="00AC3E88">
              <w:t>ERT</w:t>
            </w:r>
          </w:p>
        </w:tc>
      </w:tr>
      <w:tr w:rsidR="00AC3E88" w:rsidRPr="00AC3E88" w14:paraId="6FB3EEDE" w14:textId="77777777" w:rsidTr="003B7A31">
        <w:trPr>
          <w:trHeight w:hRule="exact" w:val="230"/>
        </w:trPr>
        <w:tc>
          <w:tcPr>
            <w:tcW w:w="426" w:type="dxa"/>
            <w:tcBorders>
              <w:top w:val="nil"/>
              <w:left w:val="single" w:sz="5" w:space="0" w:color="000000"/>
              <w:bottom w:val="nil"/>
              <w:right w:val="single" w:sz="5" w:space="0" w:color="000000"/>
            </w:tcBorders>
          </w:tcPr>
          <w:p w14:paraId="3835A0DF"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7C695377" w14:textId="77777777" w:rsidR="00DE04B3" w:rsidRPr="00AC3E88" w:rsidRDefault="00DE04B3" w:rsidP="003B7A31">
            <w:pPr>
              <w:spacing w:after="0" w:line="240" w:lineRule="auto"/>
              <w:ind w:left="64"/>
            </w:pPr>
            <w:r w:rsidRPr="00AC3E88">
              <w:rPr>
                <w:spacing w:val="1"/>
              </w:rPr>
              <w:t>D</w:t>
            </w:r>
            <w:r w:rsidRPr="00AC3E88">
              <w:rPr>
                <w:spacing w:val="-1"/>
              </w:rPr>
              <w:t>il</w:t>
            </w:r>
            <w:r w:rsidRPr="00AC3E88">
              <w:t>a</w:t>
            </w:r>
            <w:r w:rsidRPr="00AC3E88">
              <w:rPr>
                <w:spacing w:val="-1"/>
              </w:rPr>
              <w:t>t</w:t>
            </w:r>
            <w:r w:rsidRPr="00AC3E88">
              <w:rPr>
                <w:spacing w:val="1"/>
              </w:rPr>
              <w:t>o</w:t>
            </w:r>
            <w:r w:rsidRPr="00AC3E88">
              <w:rPr>
                <w:spacing w:val="-2"/>
              </w:rPr>
              <w:t>m</w:t>
            </w:r>
            <w:r w:rsidRPr="00AC3E88">
              <w:t>e</w:t>
            </w:r>
            <w:r w:rsidRPr="00AC3E88">
              <w:rPr>
                <w:spacing w:val="-1"/>
              </w:rPr>
              <w:t>t</w:t>
            </w:r>
            <w:r w:rsidRPr="00AC3E88">
              <w:t>r</w:t>
            </w:r>
            <w:r w:rsidRPr="00AC3E88">
              <w:rPr>
                <w:spacing w:val="-1"/>
              </w:rPr>
              <w:t>i</w:t>
            </w:r>
            <w:r w:rsidRPr="00AC3E88">
              <w:t>a s</w:t>
            </w:r>
            <w:r w:rsidRPr="00AC3E88">
              <w:rPr>
                <w:spacing w:val="1"/>
              </w:rPr>
              <w:t>i</w:t>
            </w:r>
            <w:r w:rsidRPr="00AC3E88">
              <w:t>s</w:t>
            </w:r>
            <w:r w:rsidRPr="00AC3E88">
              <w:rPr>
                <w:spacing w:val="-1"/>
              </w:rPr>
              <w:t>mi</w:t>
            </w:r>
            <w:r w:rsidRPr="00AC3E88">
              <w:t>ca</w:t>
            </w:r>
          </w:p>
        </w:tc>
      </w:tr>
      <w:tr w:rsidR="00AC3E88" w:rsidRPr="00AC3E88" w14:paraId="6CFFE0B8" w14:textId="77777777" w:rsidTr="003B7A31">
        <w:trPr>
          <w:trHeight w:hRule="exact" w:val="230"/>
        </w:trPr>
        <w:tc>
          <w:tcPr>
            <w:tcW w:w="426" w:type="dxa"/>
            <w:tcBorders>
              <w:top w:val="nil"/>
              <w:left w:val="single" w:sz="5" w:space="0" w:color="000000"/>
              <w:bottom w:val="nil"/>
              <w:right w:val="single" w:sz="5" w:space="0" w:color="000000"/>
            </w:tcBorders>
          </w:tcPr>
          <w:p w14:paraId="64DFB78D"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759194A1" w14:textId="77777777" w:rsidR="00DE04B3" w:rsidRPr="00AC3E88" w:rsidRDefault="00DE04B3" w:rsidP="003B7A31">
            <w:pPr>
              <w:spacing w:after="0" w:line="240" w:lineRule="auto"/>
              <w:ind w:left="64"/>
            </w:pPr>
            <w:r w:rsidRPr="00AC3E88">
              <w:t>Pr</w:t>
            </w:r>
            <w:r w:rsidRPr="00AC3E88">
              <w:rPr>
                <w:spacing w:val="-1"/>
              </w:rPr>
              <w:t>o</w:t>
            </w:r>
            <w:r w:rsidRPr="00AC3E88">
              <w:rPr>
                <w:spacing w:val="1"/>
              </w:rPr>
              <w:t>v</w:t>
            </w:r>
            <w:r w:rsidRPr="00AC3E88">
              <w:t>a</w:t>
            </w:r>
            <w:r w:rsidRPr="00AC3E88">
              <w:rPr>
                <w:spacing w:val="-1"/>
              </w:rPr>
              <w:t xml:space="preserve"> </w:t>
            </w:r>
            <w:r w:rsidRPr="00AC3E88">
              <w:rPr>
                <w:spacing w:val="1"/>
              </w:rPr>
              <w:t>p</w:t>
            </w:r>
            <w:r w:rsidRPr="00AC3E88">
              <w:rPr>
                <w:spacing w:val="-1"/>
              </w:rPr>
              <w:t>e</w:t>
            </w:r>
            <w:r w:rsidRPr="00AC3E88">
              <w:rPr>
                <w:spacing w:val="1"/>
              </w:rPr>
              <w:t>n</w:t>
            </w:r>
            <w:r w:rsidRPr="00AC3E88">
              <w:t>e</w:t>
            </w:r>
            <w:r w:rsidRPr="00AC3E88">
              <w:rPr>
                <w:spacing w:val="-1"/>
              </w:rPr>
              <w:t>trom</w:t>
            </w:r>
            <w:r w:rsidRPr="00AC3E88">
              <w:t>e</w:t>
            </w:r>
            <w:r w:rsidRPr="00AC3E88">
              <w:rPr>
                <w:spacing w:val="-1"/>
              </w:rPr>
              <w:t>t</w:t>
            </w:r>
            <w:r w:rsidRPr="00AC3E88">
              <w:t>r</w:t>
            </w:r>
            <w:r w:rsidRPr="00AC3E88">
              <w:rPr>
                <w:spacing w:val="-1"/>
              </w:rPr>
              <w:t>i</w:t>
            </w:r>
            <w:r w:rsidRPr="00AC3E88">
              <w:t>ca c</w:t>
            </w:r>
            <w:r w:rsidRPr="00AC3E88">
              <w:rPr>
                <w:spacing w:val="1"/>
              </w:rPr>
              <w:t>o</w:t>
            </w:r>
            <w:r w:rsidRPr="00AC3E88">
              <w:t>n</w:t>
            </w:r>
            <w:r w:rsidRPr="00AC3E88">
              <w:rPr>
                <w:spacing w:val="1"/>
              </w:rPr>
              <w:t xml:space="preserve"> </w:t>
            </w:r>
            <w:r w:rsidRPr="00AC3E88">
              <w:rPr>
                <w:spacing w:val="-1"/>
              </w:rPr>
              <w:t>co</w:t>
            </w:r>
            <w:r w:rsidRPr="00AC3E88">
              <w:rPr>
                <w:spacing w:val="1"/>
              </w:rPr>
              <w:t>n</w:t>
            </w:r>
            <w:r w:rsidRPr="00AC3E88">
              <w:t>o s</w:t>
            </w:r>
            <w:r w:rsidRPr="00AC3E88">
              <w:rPr>
                <w:spacing w:val="-1"/>
              </w:rPr>
              <w:t>i</w:t>
            </w:r>
            <w:r w:rsidRPr="00AC3E88">
              <w:t>s</w:t>
            </w:r>
            <w:r w:rsidRPr="00AC3E88">
              <w:rPr>
                <w:spacing w:val="-2"/>
              </w:rPr>
              <w:t>m</w:t>
            </w:r>
            <w:r w:rsidRPr="00AC3E88">
              <w:rPr>
                <w:spacing w:val="-1"/>
              </w:rPr>
              <w:t>i</w:t>
            </w:r>
            <w:r w:rsidRPr="00AC3E88">
              <w:t>co</w:t>
            </w:r>
          </w:p>
        </w:tc>
      </w:tr>
      <w:tr w:rsidR="00AC3E88" w:rsidRPr="00AC3E88" w14:paraId="597D13F6" w14:textId="77777777" w:rsidTr="003B7A31">
        <w:trPr>
          <w:trHeight w:hRule="exact" w:val="230"/>
        </w:trPr>
        <w:tc>
          <w:tcPr>
            <w:tcW w:w="426" w:type="dxa"/>
            <w:tcBorders>
              <w:top w:val="nil"/>
              <w:left w:val="single" w:sz="5" w:space="0" w:color="000000"/>
              <w:bottom w:val="nil"/>
              <w:right w:val="single" w:sz="5" w:space="0" w:color="000000"/>
            </w:tcBorders>
          </w:tcPr>
          <w:p w14:paraId="2F5CD2FA"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17169C76" w14:textId="77777777" w:rsidR="00DE04B3" w:rsidRPr="00AC3E88" w:rsidRDefault="00DE04B3" w:rsidP="003B7A31">
            <w:pPr>
              <w:spacing w:after="0" w:line="240" w:lineRule="auto"/>
              <w:ind w:left="64"/>
            </w:pPr>
            <w:r w:rsidRPr="00AC3E88">
              <w:rPr>
                <w:i/>
                <w:spacing w:val="1"/>
              </w:rPr>
              <w:t>Do</w:t>
            </w:r>
            <w:r w:rsidRPr="00AC3E88">
              <w:rPr>
                <w:i/>
                <w:spacing w:val="-2"/>
              </w:rPr>
              <w:t>w</w:t>
            </w:r>
            <w:r w:rsidRPr="00AC3E88">
              <w:rPr>
                <w:i/>
              </w:rPr>
              <w:t>n</w:t>
            </w:r>
            <w:r w:rsidRPr="00AC3E88">
              <w:rPr>
                <w:i/>
                <w:spacing w:val="-1"/>
              </w:rPr>
              <w:t>-h</w:t>
            </w:r>
            <w:r w:rsidRPr="00AC3E88">
              <w:rPr>
                <w:i/>
                <w:spacing w:val="1"/>
              </w:rPr>
              <w:t>o</w:t>
            </w:r>
            <w:r w:rsidRPr="00AC3E88">
              <w:rPr>
                <w:i/>
                <w:spacing w:val="-1"/>
              </w:rPr>
              <w:t>le</w:t>
            </w:r>
          </w:p>
        </w:tc>
      </w:tr>
      <w:tr w:rsidR="00AC3E88" w:rsidRPr="00AC3E88" w14:paraId="32B6C287" w14:textId="77777777" w:rsidTr="003B7A31">
        <w:trPr>
          <w:trHeight w:hRule="exact" w:val="230"/>
        </w:trPr>
        <w:tc>
          <w:tcPr>
            <w:tcW w:w="426" w:type="dxa"/>
            <w:tcBorders>
              <w:top w:val="nil"/>
              <w:left w:val="single" w:sz="5" w:space="0" w:color="000000"/>
              <w:bottom w:val="nil"/>
              <w:right w:val="single" w:sz="5" w:space="0" w:color="000000"/>
            </w:tcBorders>
          </w:tcPr>
          <w:p w14:paraId="2E73ADF1"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26E4CDC5" w14:textId="77777777" w:rsidR="00DE04B3" w:rsidRPr="00AC3E88" w:rsidRDefault="00DE04B3" w:rsidP="003B7A31">
            <w:pPr>
              <w:spacing w:after="0" w:line="240" w:lineRule="auto"/>
              <w:ind w:left="64"/>
            </w:pPr>
            <w:r w:rsidRPr="00AC3E88">
              <w:rPr>
                <w:i/>
              </w:rPr>
              <w:t>Cr</w:t>
            </w:r>
            <w:r w:rsidRPr="00AC3E88">
              <w:rPr>
                <w:i/>
                <w:spacing w:val="1"/>
              </w:rPr>
              <w:t>o</w:t>
            </w:r>
            <w:r w:rsidRPr="00AC3E88">
              <w:rPr>
                <w:i/>
              </w:rPr>
              <w:t>ss</w:t>
            </w:r>
            <w:r w:rsidRPr="00AC3E88">
              <w:rPr>
                <w:i/>
                <w:spacing w:val="-1"/>
              </w:rPr>
              <w:t>-h</w:t>
            </w:r>
            <w:r w:rsidRPr="00AC3E88">
              <w:rPr>
                <w:i/>
                <w:spacing w:val="1"/>
              </w:rPr>
              <w:t>o</w:t>
            </w:r>
            <w:r w:rsidRPr="00AC3E88">
              <w:rPr>
                <w:i/>
                <w:spacing w:val="-1"/>
              </w:rPr>
              <w:t>le</w:t>
            </w:r>
          </w:p>
        </w:tc>
      </w:tr>
      <w:tr w:rsidR="00AC3E88" w:rsidRPr="00AC3E88" w14:paraId="277D3A6D" w14:textId="77777777" w:rsidTr="003B7A31">
        <w:trPr>
          <w:trHeight w:hRule="exact" w:val="230"/>
        </w:trPr>
        <w:tc>
          <w:tcPr>
            <w:tcW w:w="426" w:type="dxa"/>
            <w:tcBorders>
              <w:top w:val="nil"/>
              <w:left w:val="single" w:sz="5" w:space="0" w:color="000000"/>
              <w:bottom w:val="nil"/>
              <w:right w:val="single" w:sz="5" w:space="0" w:color="000000"/>
            </w:tcBorders>
          </w:tcPr>
          <w:p w14:paraId="28518538"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5A707675" w14:textId="77777777" w:rsidR="00DE04B3" w:rsidRPr="00AC3E88" w:rsidRDefault="00DE04B3" w:rsidP="003B7A31">
            <w:pPr>
              <w:spacing w:after="0" w:line="240" w:lineRule="auto"/>
              <w:ind w:left="64"/>
            </w:pPr>
            <w:r w:rsidRPr="00AC3E88">
              <w:rPr>
                <w:spacing w:val="1"/>
              </w:rPr>
              <w:t>H</w:t>
            </w:r>
            <w:r w:rsidRPr="00AC3E88">
              <w:rPr>
                <w:spacing w:val="-1"/>
              </w:rPr>
              <w:t>V</w:t>
            </w:r>
            <w:r w:rsidRPr="00AC3E88">
              <w:t>SR</w:t>
            </w:r>
          </w:p>
        </w:tc>
      </w:tr>
      <w:tr w:rsidR="00AC3E88" w:rsidRPr="00AC3E88" w14:paraId="19DF7D4E" w14:textId="77777777" w:rsidTr="003B7A31">
        <w:trPr>
          <w:trHeight w:hRule="exact" w:val="230"/>
        </w:trPr>
        <w:tc>
          <w:tcPr>
            <w:tcW w:w="426" w:type="dxa"/>
            <w:tcBorders>
              <w:top w:val="nil"/>
              <w:left w:val="single" w:sz="5" w:space="0" w:color="000000"/>
              <w:bottom w:val="nil"/>
              <w:right w:val="single" w:sz="5" w:space="0" w:color="000000"/>
            </w:tcBorders>
          </w:tcPr>
          <w:p w14:paraId="0A372BDC"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019A5C9C" w14:textId="77777777" w:rsidR="00DE04B3" w:rsidRPr="00AC3E88" w:rsidRDefault="00DE04B3" w:rsidP="003B7A31">
            <w:pPr>
              <w:spacing w:after="0" w:line="240" w:lineRule="auto"/>
              <w:ind w:left="64"/>
            </w:pPr>
            <w:r w:rsidRPr="00AC3E88">
              <w:t>ESAC</w:t>
            </w:r>
            <w:r w:rsidRPr="00AC3E88">
              <w:rPr>
                <w:spacing w:val="-1"/>
              </w:rPr>
              <w:t>/</w:t>
            </w:r>
            <w:r w:rsidRPr="00AC3E88">
              <w:t>S</w:t>
            </w:r>
            <w:r w:rsidRPr="00AC3E88">
              <w:rPr>
                <w:spacing w:val="-1"/>
              </w:rPr>
              <w:t>P</w:t>
            </w:r>
            <w:r w:rsidRPr="00AC3E88">
              <w:rPr>
                <w:spacing w:val="1"/>
              </w:rPr>
              <w:t>A</w:t>
            </w:r>
            <w:r w:rsidRPr="00AC3E88">
              <w:t>C</w:t>
            </w:r>
          </w:p>
        </w:tc>
      </w:tr>
      <w:tr w:rsidR="00AC3E88" w:rsidRPr="00AC3E88" w14:paraId="5F5FC0C9" w14:textId="77777777" w:rsidTr="003B7A31">
        <w:trPr>
          <w:trHeight w:hRule="exact" w:val="230"/>
        </w:trPr>
        <w:tc>
          <w:tcPr>
            <w:tcW w:w="426" w:type="dxa"/>
            <w:tcBorders>
              <w:top w:val="nil"/>
              <w:left w:val="single" w:sz="5" w:space="0" w:color="000000"/>
              <w:bottom w:val="nil"/>
              <w:right w:val="single" w:sz="5" w:space="0" w:color="000000"/>
            </w:tcBorders>
          </w:tcPr>
          <w:p w14:paraId="2DD6C865"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23D28C5E" w14:textId="77777777" w:rsidR="00DE04B3" w:rsidRPr="00AC3E88" w:rsidRDefault="00DE04B3" w:rsidP="003B7A31">
            <w:pPr>
              <w:spacing w:after="0" w:line="240" w:lineRule="auto"/>
              <w:ind w:left="64"/>
            </w:pPr>
            <w:r w:rsidRPr="00AC3E88">
              <w:t>S</w:t>
            </w:r>
            <w:r w:rsidRPr="00AC3E88">
              <w:rPr>
                <w:spacing w:val="-1"/>
              </w:rPr>
              <w:t>i</w:t>
            </w:r>
            <w:r w:rsidRPr="00AC3E88">
              <w:t>s</w:t>
            </w:r>
            <w:r w:rsidRPr="00AC3E88">
              <w:rPr>
                <w:spacing w:val="-1"/>
              </w:rPr>
              <w:t>mi</w:t>
            </w:r>
            <w:r w:rsidRPr="00AC3E88">
              <w:t>ca a r</w:t>
            </w:r>
            <w:r w:rsidRPr="00AC3E88">
              <w:rPr>
                <w:spacing w:val="-1"/>
              </w:rPr>
              <w:t>i</w:t>
            </w:r>
            <w:r w:rsidRPr="00AC3E88">
              <w:t>f</w:t>
            </w:r>
            <w:r w:rsidRPr="00AC3E88">
              <w:rPr>
                <w:spacing w:val="-1"/>
              </w:rPr>
              <w:t>l</w:t>
            </w:r>
            <w:r w:rsidRPr="00AC3E88">
              <w:t>ess</w:t>
            </w:r>
            <w:r w:rsidRPr="00AC3E88">
              <w:rPr>
                <w:spacing w:val="-1"/>
              </w:rPr>
              <w:t>i</w:t>
            </w:r>
            <w:r w:rsidRPr="00AC3E88">
              <w:rPr>
                <w:spacing w:val="1"/>
              </w:rPr>
              <w:t>on</w:t>
            </w:r>
            <w:r w:rsidRPr="00AC3E88">
              <w:t>e</w:t>
            </w:r>
          </w:p>
        </w:tc>
      </w:tr>
      <w:tr w:rsidR="00AC3E88" w:rsidRPr="00AC3E88" w14:paraId="5AE17929" w14:textId="77777777" w:rsidTr="003B7A31">
        <w:trPr>
          <w:trHeight w:hRule="exact" w:val="230"/>
        </w:trPr>
        <w:tc>
          <w:tcPr>
            <w:tcW w:w="426" w:type="dxa"/>
            <w:tcBorders>
              <w:top w:val="nil"/>
              <w:left w:val="single" w:sz="5" w:space="0" w:color="000000"/>
              <w:bottom w:val="nil"/>
              <w:right w:val="single" w:sz="5" w:space="0" w:color="000000"/>
            </w:tcBorders>
          </w:tcPr>
          <w:p w14:paraId="7773BDEA"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2E49A8E7" w14:textId="77777777" w:rsidR="00DE04B3" w:rsidRPr="00AC3E88" w:rsidRDefault="00DE04B3" w:rsidP="003B7A31">
            <w:pPr>
              <w:spacing w:after="0" w:line="240" w:lineRule="auto"/>
              <w:ind w:left="64"/>
            </w:pPr>
            <w:r w:rsidRPr="00AC3E88">
              <w:t>S</w:t>
            </w:r>
            <w:r w:rsidRPr="00AC3E88">
              <w:rPr>
                <w:spacing w:val="-1"/>
              </w:rPr>
              <w:t>i</w:t>
            </w:r>
            <w:r w:rsidRPr="00AC3E88">
              <w:t>s</w:t>
            </w:r>
            <w:r w:rsidRPr="00AC3E88">
              <w:rPr>
                <w:spacing w:val="-1"/>
              </w:rPr>
              <w:t>mi</w:t>
            </w:r>
            <w:r w:rsidRPr="00AC3E88">
              <w:t>ca a r</w:t>
            </w:r>
            <w:r w:rsidRPr="00AC3E88">
              <w:rPr>
                <w:spacing w:val="-1"/>
              </w:rPr>
              <w:t>i</w:t>
            </w:r>
            <w:r w:rsidRPr="00AC3E88">
              <w:t>fr</w:t>
            </w:r>
            <w:r w:rsidRPr="00AC3E88">
              <w:rPr>
                <w:spacing w:val="-1"/>
              </w:rPr>
              <w:t>a</w:t>
            </w:r>
            <w:r w:rsidRPr="00AC3E88">
              <w:t>z</w:t>
            </w:r>
            <w:r w:rsidRPr="00AC3E88">
              <w:rPr>
                <w:spacing w:val="-1"/>
              </w:rPr>
              <w:t>i</w:t>
            </w:r>
            <w:r w:rsidRPr="00AC3E88">
              <w:rPr>
                <w:spacing w:val="1"/>
              </w:rPr>
              <w:t>on</w:t>
            </w:r>
            <w:r w:rsidRPr="00AC3E88">
              <w:t>e</w:t>
            </w:r>
          </w:p>
        </w:tc>
      </w:tr>
      <w:tr w:rsidR="00AC3E88" w:rsidRPr="00AC3E88" w14:paraId="4ECAA19C" w14:textId="77777777" w:rsidTr="003B7A31">
        <w:trPr>
          <w:trHeight w:hRule="exact" w:val="230"/>
        </w:trPr>
        <w:tc>
          <w:tcPr>
            <w:tcW w:w="426" w:type="dxa"/>
            <w:tcBorders>
              <w:top w:val="nil"/>
              <w:left w:val="single" w:sz="5" w:space="0" w:color="000000"/>
              <w:bottom w:val="nil"/>
              <w:right w:val="single" w:sz="5" w:space="0" w:color="000000"/>
            </w:tcBorders>
          </w:tcPr>
          <w:p w14:paraId="16F21288"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5FBDAFD0" w14:textId="77777777" w:rsidR="00DE04B3" w:rsidRPr="00AC3E88" w:rsidRDefault="00DE04B3" w:rsidP="003B7A31">
            <w:pPr>
              <w:spacing w:after="0" w:line="240" w:lineRule="auto"/>
              <w:ind w:left="64"/>
            </w:pPr>
            <w:r w:rsidRPr="00AC3E88">
              <w:rPr>
                <w:spacing w:val="1"/>
              </w:rPr>
              <w:t>G</w:t>
            </w:r>
            <w:r w:rsidRPr="00AC3E88">
              <w:t>e</w:t>
            </w:r>
            <w:r w:rsidRPr="00AC3E88">
              <w:rPr>
                <w:spacing w:val="-1"/>
              </w:rPr>
              <w:t>o</w:t>
            </w:r>
            <w:r w:rsidRPr="00AC3E88">
              <w:t>r</w:t>
            </w:r>
            <w:r w:rsidRPr="00AC3E88">
              <w:rPr>
                <w:spacing w:val="-1"/>
              </w:rPr>
              <w:t>a</w:t>
            </w:r>
            <w:r w:rsidRPr="00AC3E88">
              <w:rPr>
                <w:spacing w:val="1"/>
              </w:rPr>
              <w:t>d</w:t>
            </w:r>
            <w:r w:rsidRPr="00AC3E88">
              <w:t>ar</w:t>
            </w:r>
          </w:p>
          <w:p w14:paraId="0B0EB88D" w14:textId="77777777" w:rsidR="00DE04B3" w:rsidRPr="00AC3E88" w:rsidRDefault="00DE04B3" w:rsidP="003B7A31">
            <w:pPr>
              <w:spacing w:after="0" w:line="240" w:lineRule="auto"/>
              <w:ind w:left="64"/>
            </w:pPr>
          </w:p>
        </w:tc>
      </w:tr>
      <w:tr w:rsidR="00AC3E88" w:rsidRPr="00AC3E88" w14:paraId="0A791517" w14:textId="77777777" w:rsidTr="003B7A31">
        <w:trPr>
          <w:trHeight w:hRule="exact" w:val="230"/>
        </w:trPr>
        <w:tc>
          <w:tcPr>
            <w:tcW w:w="426" w:type="dxa"/>
            <w:tcBorders>
              <w:top w:val="nil"/>
              <w:left w:val="single" w:sz="5" w:space="0" w:color="000000"/>
              <w:bottom w:val="nil"/>
              <w:right w:val="single" w:sz="5" w:space="0" w:color="000000"/>
            </w:tcBorders>
          </w:tcPr>
          <w:p w14:paraId="4EA6B3D7" w14:textId="77777777" w:rsidR="00DE04B3" w:rsidRPr="00AC3E88"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C4E1499" w14:textId="77777777" w:rsidR="00DE04B3" w:rsidRPr="00AC3E88" w:rsidRDefault="00DE04B3" w:rsidP="003B7A31">
            <w:pPr>
              <w:spacing w:after="0" w:line="240" w:lineRule="auto"/>
              <w:ind w:left="64"/>
            </w:pPr>
            <w:r w:rsidRPr="00AC3E88">
              <w:rPr>
                <w:spacing w:val="-1"/>
              </w:rPr>
              <w:t>M</w:t>
            </w:r>
            <w:r w:rsidRPr="00AC3E88">
              <w:rPr>
                <w:spacing w:val="1"/>
              </w:rPr>
              <w:t>A</w:t>
            </w:r>
            <w:r w:rsidRPr="00AC3E88">
              <w:rPr>
                <w:spacing w:val="-1"/>
              </w:rPr>
              <w:t>SW</w:t>
            </w:r>
          </w:p>
        </w:tc>
      </w:tr>
      <w:tr w:rsidR="00D4499A" w:rsidRPr="00D4499A" w14:paraId="3EEF3EDE" w14:textId="77777777" w:rsidTr="003B7A31">
        <w:trPr>
          <w:trHeight w:hRule="exact" w:val="233"/>
        </w:trPr>
        <w:tc>
          <w:tcPr>
            <w:tcW w:w="426" w:type="dxa"/>
            <w:tcBorders>
              <w:top w:val="nil"/>
              <w:left w:val="single" w:sz="5" w:space="0" w:color="000000"/>
              <w:bottom w:val="single" w:sz="5" w:space="0" w:color="000000"/>
              <w:right w:val="single" w:sz="5" w:space="0" w:color="000000"/>
            </w:tcBorders>
          </w:tcPr>
          <w:p w14:paraId="622ACF39" w14:textId="77777777" w:rsidR="00DE04B3" w:rsidRPr="00D4499A" w:rsidRDefault="00DE04B3" w:rsidP="003B7A31">
            <w:pPr>
              <w:spacing w:after="0" w:line="240" w:lineRule="auto"/>
            </w:pPr>
          </w:p>
        </w:tc>
        <w:tc>
          <w:tcPr>
            <w:tcW w:w="9213" w:type="dxa"/>
            <w:tcBorders>
              <w:top w:val="nil"/>
              <w:left w:val="single" w:sz="5" w:space="0" w:color="000000"/>
              <w:bottom w:val="single" w:sz="5" w:space="0" w:color="000000"/>
              <w:right w:val="single" w:sz="5" w:space="0" w:color="000000"/>
            </w:tcBorders>
          </w:tcPr>
          <w:p w14:paraId="1F5C9C92" w14:textId="77777777" w:rsidR="00DE04B3" w:rsidRPr="00D4499A" w:rsidRDefault="00DE04B3" w:rsidP="003B7A31">
            <w:pPr>
              <w:spacing w:after="0" w:line="240" w:lineRule="auto"/>
              <w:ind w:left="64"/>
            </w:pPr>
            <w:r w:rsidRPr="00D4499A">
              <w:t>REMI</w:t>
            </w:r>
          </w:p>
        </w:tc>
      </w:tr>
    </w:tbl>
    <w:p w14:paraId="7B4B9C78" w14:textId="77777777" w:rsidR="00DE04B3" w:rsidRPr="00D4499A" w:rsidRDefault="00DE04B3" w:rsidP="002770E3">
      <w:pPr>
        <w:spacing w:after="0"/>
        <w:jc w:val="both"/>
      </w:pPr>
    </w:p>
    <w:p w14:paraId="1EBE8EEC" w14:textId="77777777" w:rsidR="002770E3" w:rsidRPr="00D4499A" w:rsidRDefault="002770E3" w:rsidP="002770E3">
      <w:pPr>
        <w:spacing w:after="0"/>
        <w:jc w:val="both"/>
      </w:pPr>
      <w:r w:rsidRPr="00D4499A">
        <w:t xml:space="preserve">Le indagini saranno ubicate in funzione dei seguenti criteri: </w:t>
      </w:r>
    </w:p>
    <w:p w14:paraId="0F7DB9CC" w14:textId="77777777" w:rsidR="002770E3" w:rsidRPr="00D4499A" w:rsidRDefault="002770E3" w:rsidP="002770E3">
      <w:pPr>
        <w:spacing w:after="0"/>
        <w:jc w:val="both"/>
      </w:pPr>
      <w:r w:rsidRPr="00D4499A">
        <w:t xml:space="preserve">1) distribuzione dei dati pregressi; </w:t>
      </w:r>
    </w:p>
    <w:p w14:paraId="654D7437" w14:textId="77777777" w:rsidR="002770E3" w:rsidRPr="00D4499A" w:rsidRDefault="002770E3" w:rsidP="002770E3">
      <w:pPr>
        <w:spacing w:after="0"/>
        <w:jc w:val="both"/>
      </w:pPr>
      <w:r w:rsidRPr="00D4499A">
        <w:t>2) livello presunto di pericolosità relativa evidenziato nella carta delle MOPS;</w:t>
      </w:r>
    </w:p>
    <w:p w14:paraId="67704928" w14:textId="77777777" w:rsidR="002770E3" w:rsidRPr="00D4499A" w:rsidRDefault="002770E3" w:rsidP="002770E3">
      <w:pPr>
        <w:spacing w:after="0"/>
        <w:jc w:val="both"/>
      </w:pPr>
      <w:r w:rsidRPr="00D4499A">
        <w:t xml:space="preserve">3) tracce delle sezioni rappresentative che correderanno la </w:t>
      </w:r>
      <w:r w:rsidR="00E01E2A" w:rsidRPr="00D4499A">
        <w:t>C</w:t>
      </w:r>
      <w:r w:rsidRPr="00D4499A">
        <w:t xml:space="preserve">arta </w:t>
      </w:r>
      <w:r w:rsidR="00E01E2A" w:rsidRPr="00D4499A">
        <w:t>G</w:t>
      </w:r>
      <w:r w:rsidRPr="00D4499A">
        <w:t>eologico-</w:t>
      </w:r>
      <w:r w:rsidR="00E01E2A" w:rsidRPr="00D4499A">
        <w:t>T</w:t>
      </w:r>
      <w:r w:rsidRPr="00D4499A">
        <w:t xml:space="preserve">ecnica. </w:t>
      </w:r>
    </w:p>
    <w:p w14:paraId="59B361F1" w14:textId="77777777" w:rsidR="002770E3" w:rsidRPr="00D4499A" w:rsidRDefault="002770E3" w:rsidP="002770E3">
      <w:pPr>
        <w:spacing w:after="0"/>
        <w:jc w:val="both"/>
      </w:pPr>
      <w:r w:rsidRPr="00D4499A">
        <w:t xml:space="preserve">Nel caso in cui si verifichi l'impossibilità di esecuzione di alcune indagini, oppure non fosse possibile realizzare le quantità indicate, l’affidatario comunicherà, motivandolo, numero e tipologia delle indagini non espletabili e proposta di indagini sostitutive, concordando con il </w:t>
      </w:r>
      <w:r w:rsidR="0025105C" w:rsidRPr="00D4499A">
        <w:t>GLSTS</w:t>
      </w:r>
      <w:r w:rsidRPr="00D4499A">
        <w:t xml:space="preserve"> numero e tipologia di indagini da realizzare in sostituzione.</w:t>
      </w:r>
    </w:p>
    <w:p w14:paraId="51C12F4B" w14:textId="77777777" w:rsidR="002770E3" w:rsidRPr="00D4499A" w:rsidRDefault="002770E3" w:rsidP="002770E3">
      <w:pPr>
        <w:spacing w:after="0"/>
        <w:jc w:val="both"/>
      </w:pPr>
      <w:r w:rsidRPr="00D4499A">
        <w:t xml:space="preserve">Ogni microzona cartografata nella Carta </w:t>
      </w:r>
      <w:r w:rsidR="00817422" w:rsidRPr="00D4499A">
        <w:t>della Microzonazione Sismica</w:t>
      </w:r>
      <w:r w:rsidRPr="00D4499A">
        <w:t xml:space="preserve"> </w:t>
      </w:r>
      <w:r w:rsidR="00817422" w:rsidRPr="00D4499A">
        <w:t xml:space="preserve">finale </w:t>
      </w:r>
      <w:r w:rsidRPr="00D4499A">
        <w:t>dovrà essere caratterizzata attraverso</w:t>
      </w:r>
      <w:r w:rsidR="000B7B9C" w:rsidRPr="00D4499A">
        <w:t xml:space="preserve"> un numero adeguato di misure di microtremore (tecnica HVSR) e</w:t>
      </w:r>
      <w:r w:rsidRPr="00D4499A">
        <w:t xml:space="preserve"> almeno un profilo di Vs, possibilmente esteso fino al substrato di riferimento per le modellazioni numeriche.</w:t>
      </w:r>
    </w:p>
    <w:p w14:paraId="7B403ACA" w14:textId="77777777" w:rsidR="002770E3" w:rsidRPr="00D4499A" w:rsidRDefault="002770E3" w:rsidP="002770E3">
      <w:pPr>
        <w:spacing w:after="0"/>
        <w:jc w:val="both"/>
      </w:pPr>
      <w:r w:rsidRPr="00D4499A">
        <w:t>Con l’obiettivo di caratterizzare il numero massimo di litotipi, lungo almeno una delle sezioni geologico-tecniche dovrà essere realizzato almeno n. 1 sondaggio a carotaggio continuo (per una lunghezza complessiva di almeno 35 metri), con prelievo di campioni indisturbati, esecuzione di prove in sito (almeno prove SPT, quando possibile) e attrezzato per prova Down-Hole (DH)</w:t>
      </w:r>
      <w:bookmarkStart w:id="2" w:name="_Hlk93428683"/>
      <w:r w:rsidR="0023096E" w:rsidRPr="00D4499A">
        <w:t>, e successivamente nello stesso foro dovrà essere realizzata una prova Down-Hole</w:t>
      </w:r>
      <w:bookmarkEnd w:id="2"/>
      <w:r w:rsidRPr="00D4499A">
        <w:t xml:space="preserve">. </w:t>
      </w:r>
      <w:r w:rsidR="0057035A" w:rsidRPr="00D4499A">
        <w:t xml:space="preserve">I campioni </w:t>
      </w:r>
      <w:r w:rsidR="000B7B9C" w:rsidRPr="00D4499A">
        <w:t xml:space="preserve">prelevati </w:t>
      </w:r>
      <w:r w:rsidR="0057035A" w:rsidRPr="00D4499A">
        <w:t xml:space="preserve">dovranno essere messi a disposizione del GLSTS per l’esecuzione di prove di laboratorio finalizzate a caratterizzarne il comportamento dinamico. </w:t>
      </w:r>
    </w:p>
    <w:p w14:paraId="6A1C62D2" w14:textId="77777777" w:rsidR="002770E3" w:rsidRPr="00D4499A" w:rsidRDefault="009373A5" w:rsidP="002770E3">
      <w:pPr>
        <w:spacing w:after="0"/>
        <w:jc w:val="both"/>
      </w:pPr>
      <w:r w:rsidRPr="00D4499A">
        <w:t>Per le specifiche tecniche sulle modalità di acquisizione ed elaborazione dei dati, si rimanda alle schede riportate nel volume 2 di ICMS (2008) e successivi aggiornamenti, elencati nell’articolo 1</w:t>
      </w:r>
      <w:r w:rsidR="00C13C20" w:rsidRPr="00D4499A">
        <w:t>2</w:t>
      </w:r>
      <w:r w:rsidRPr="00D4499A">
        <w:t xml:space="preserve">, nonché ai protocolli forniti dal GLSTS. </w:t>
      </w:r>
      <w:r w:rsidR="002770E3" w:rsidRPr="00D4499A">
        <w:t>Per ogni indagine realizzata</w:t>
      </w:r>
      <w:r w:rsidR="000B7B9C" w:rsidRPr="00D4499A">
        <w:t>,</w:t>
      </w:r>
      <w:r w:rsidR="002770E3" w:rsidRPr="00D4499A">
        <w:t xml:space="preserve"> l’affidatario dovrà produrre, oltre all’elaborazione della prova, anche i file originali dell’acquisizione.</w:t>
      </w:r>
    </w:p>
    <w:p w14:paraId="5E0813D7" w14:textId="77777777" w:rsidR="002770E3" w:rsidRPr="00D4499A" w:rsidRDefault="002770E3" w:rsidP="002770E3">
      <w:pPr>
        <w:spacing w:after="0"/>
        <w:jc w:val="both"/>
      </w:pPr>
      <w:r w:rsidRPr="00D4499A">
        <w:lastRenderedPageBreak/>
        <w:t>L’affidatario è tenuto ad ottemperare a quanto previsto dalla legge 464/1984, riguardo alla comunicazione inizio indagini da inoltrare ad ISPRA.</w:t>
      </w:r>
    </w:p>
    <w:p w14:paraId="76EDFB1D" w14:textId="77777777" w:rsidR="009E6AEF" w:rsidRPr="00D4499A" w:rsidRDefault="009E6AEF" w:rsidP="002770E3">
      <w:pPr>
        <w:spacing w:after="0"/>
        <w:jc w:val="both"/>
      </w:pPr>
    </w:p>
    <w:p w14:paraId="22C789D6" w14:textId="77777777" w:rsidR="00AF06AA" w:rsidRPr="00D4499A" w:rsidRDefault="00AF06AA" w:rsidP="00AF06AA">
      <w:pPr>
        <w:spacing w:after="0"/>
        <w:jc w:val="both"/>
        <w:rPr>
          <w:b/>
        </w:rPr>
      </w:pPr>
      <w:r w:rsidRPr="00D4499A">
        <w:rPr>
          <w:b/>
        </w:rPr>
        <w:t>Articolo 4. Elaborati finali</w:t>
      </w:r>
    </w:p>
    <w:p w14:paraId="5BFFABC9" w14:textId="77777777" w:rsidR="009373A5" w:rsidRPr="00D4499A" w:rsidRDefault="009373A5" w:rsidP="009373A5">
      <w:pPr>
        <w:spacing w:after="0"/>
        <w:jc w:val="both"/>
      </w:pPr>
      <w:r w:rsidRPr="00D4499A">
        <w:t xml:space="preserve">L’affidatario dovrà produrre gli elaborati di seguito descritti, tenendo conto delle analisi numeriche realizzate in proprio o </w:t>
      </w:r>
      <w:bookmarkStart w:id="3" w:name="_Hlk93426598"/>
      <w:r w:rsidR="0023096E" w:rsidRPr="00D4499A">
        <w:t xml:space="preserve">eventualmente </w:t>
      </w:r>
      <w:bookmarkEnd w:id="3"/>
      <w:r w:rsidRPr="00D4499A">
        <w:t>fornite dal GLSTS, facendo riferimento alle indicazioni riportate negli standard nazionali (Versione 4.2) e al software SoftMS (vedi articolo 1</w:t>
      </w:r>
      <w:r w:rsidR="00C13C20" w:rsidRPr="00D4499A">
        <w:t>2</w:t>
      </w:r>
      <w:r w:rsidRPr="00D4499A">
        <w:t>)</w:t>
      </w:r>
      <w:r w:rsidR="006256B1" w:rsidRPr="00D4499A">
        <w:t xml:space="preserve">. Per produrre un risultato conforme ai requisiti di questi standard, potrà avvalersi </w:t>
      </w:r>
      <w:r w:rsidR="001B4219" w:rsidRPr="00D4499A">
        <w:t>di qualsiasi software GIS e di software appositamente predisposti quali SoftMS, (vedi riferimenti all’articolo 12) e i</w:t>
      </w:r>
      <w:r w:rsidR="006256B1" w:rsidRPr="00D4499A">
        <w:t>l plugin MzSTools</w:t>
      </w:r>
      <w:r w:rsidR="001B563F" w:rsidRPr="00D4499A">
        <w:t>,</w:t>
      </w:r>
      <w:r w:rsidR="006256B1" w:rsidRPr="00D4499A">
        <w:t xml:space="preserve"> installabile su QGIS </w:t>
      </w:r>
      <w:r w:rsidR="001B4219" w:rsidRPr="00D4499A">
        <w:t>3.16</w:t>
      </w:r>
      <w:r w:rsidR="006256B1" w:rsidRPr="00D4499A">
        <w:t xml:space="preserve"> (</w:t>
      </w:r>
      <w:hyperlink r:id="rId8" w:history="1">
        <w:r w:rsidR="006256B1" w:rsidRPr="00D4499A">
          <w:rPr>
            <w:rStyle w:val="Collegamentoipertestuale"/>
            <w:color w:val="auto"/>
          </w:rPr>
          <w:t>https://plugins.qgis.org/plugins/MzSTools</w:t>
        </w:r>
      </w:hyperlink>
      <w:r w:rsidR="006256B1" w:rsidRPr="00D4499A">
        <w:t xml:space="preserve"> ). Gli elaborati da produrre sono:</w:t>
      </w:r>
    </w:p>
    <w:p w14:paraId="7A6E1E13" w14:textId="77777777" w:rsidR="009373A5" w:rsidRPr="00D4499A" w:rsidRDefault="009373A5" w:rsidP="009373A5">
      <w:pPr>
        <w:spacing w:after="0"/>
        <w:jc w:val="both"/>
      </w:pPr>
      <w:r w:rsidRPr="00D4499A">
        <w:t>1.</w:t>
      </w:r>
      <w:r w:rsidRPr="00D4499A">
        <w:tab/>
      </w:r>
      <w:r w:rsidR="001B4219" w:rsidRPr="00D4499A">
        <w:t xml:space="preserve">Struttura di archiviazione </w:t>
      </w:r>
      <w:r w:rsidRPr="00D4499A">
        <w:t>degli strati informativi</w:t>
      </w:r>
      <w:r w:rsidR="001B4219" w:rsidRPr="00D4499A">
        <w:t>, delle indagini e degli elaborati cartografici</w:t>
      </w:r>
      <w:r w:rsidRPr="00D4499A">
        <w:t>;</w:t>
      </w:r>
    </w:p>
    <w:p w14:paraId="6D84B9DB" w14:textId="77777777" w:rsidR="004B45DE" w:rsidRPr="00D4499A" w:rsidRDefault="009373A5" w:rsidP="009373A5">
      <w:pPr>
        <w:spacing w:after="0"/>
        <w:jc w:val="both"/>
      </w:pPr>
      <w:r w:rsidRPr="00D4499A">
        <w:t>2.</w:t>
      </w:r>
      <w:r w:rsidRPr="00D4499A">
        <w:tab/>
        <w:t xml:space="preserve">Carta delle </w:t>
      </w:r>
      <w:r w:rsidR="006256B1" w:rsidRPr="00D4499A">
        <w:t>I</w:t>
      </w:r>
      <w:r w:rsidRPr="00D4499A">
        <w:t>ndagini;</w:t>
      </w:r>
    </w:p>
    <w:p w14:paraId="17DB099C" w14:textId="77777777" w:rsidR="009373A5" w:rsidRPr="00D4499A" w:rsidRDefault="009373A5" w:rsidP="009373A5">
      <w:pPr>
        <w:spacing w:after="0"/>
        <w:jc w:val="both"/>
      </w:pPr>
      <w:r w:rsidRPr="00D4499A">
        <w:t>3.</w:t>
      </w:r>
      <w:r w:rsidRPr="00D4499A">
        <w:tab/>
        <w:t xml:space="preserve">Carta delle </w:t>
      </w:r>
      <w:r w:rsidR="006256B1" w:rsidRPr="00D4499A">
        <w:t>F</w:t>
      </w:r>
      <w:r w:rsidRPr="00D4499A">
        <w:t>requenze naturali dei terreni</w:t>
      </w:r>
      <w:r w:rsidR="00785552" w:rsidRPr="00D4499A">
        <w:t xml:space="preserve"> (CF)</w:t>
      </w:r>
      <w:r w:rsidRPr="00D4499A">
        <w:t>;</w:t>
      </w:r>
    </w:p>
    <w:p w14:paraId="490C73AC" w14:textId="77777777" w:rsidR="004B45DE" w:rsidRPr="00D4499A" w:rsidRDefault="004B45DE" w:rsidP="009373A5">
      <w:pPr>
        <w:spacing w:after="0"/>
        <w:jc w:val="both"/>
      </w:pPr>
      <w:r w:rsidRPr="00D4499A">
        <w:t>4.</w:t>
      </w:r>
      <w:r w:rsidRPr="00D4499A">
        <w:tab/>
        <w:t xml:space="preserve">Revisione della Carta Geologica </w:t>
      </w:r>
      <w:r w:rsidR="00785552" w:rsidRPr="00D4499A">
        <w:t xml:space="preserve">e Geomorfologica (CGG) </w:t>
      </w:r>
      <w:r w:rsidRPr="00D4499A">
        <w:t xml:space="preserve">di base; </w:t>
      </w:r>
    </w:p>
    <w:p w14:paraId="7DBE6AB1" w14:textId="77777777" w:rsidR="00907CCF" w:rsidRPr="00D4499A" w:rsidRDefault="00907CCF" w:rsidP="009373A5">
      <w:pPr>
        <w:spacing w:after="0"/>
        <w:jc w:val="both"/>
      </w:pPr>
      <w:r w:rsidRPr="00D4499A">
        <w:t>5.</w:t>
      </w:r>
      <w:r w:rsidRPr="00D4499A">
        <w:tab/>
        <w:t xml:space="preserve">Sezioni geologiche </w:t>
      </w:r>
      <w:bookmarkStart w:id="4" w:name="_Hlk93054452"/>
      <w:r w:rsidRPr="00D4499A">
        <w:t>e modello geologico;</w:t>
      </w:r>
      <w:bookmarkEnd w:id="4"/>
    </w:p>
    <w:p w14:paraId="0D100702" w14:textId="77777777" w:rsidR="009373A5" w:rsidRPr="00D4499A" w:rsidRDefault="00907CCF" w:rsidP="009373A5">
      <w:pPr>
        <w:spacing w:after="0"/>
        <w:jc w:val="both"/>
      </w:pPr>
      <w:r w:rsidRPr="00D4499A">
        <w:t>6</w:t>
      </w:r>
      <w:r w:rsidR="009373A5" w:rsidRPr="00D4499A">
        <w:t>.</w:t>
      </w:r>
      <w:r w:rsidR="009373A5" w:rsidRPr="00D4499A">
        <w:tab/>
        <w:t xml:space="preserve">Carta </w:t>
      </w:r>
      <w:r w:rsidR="006256B1" w:rsidRPr="00D4499A">
        <w:t>G</w:t>
      </w:r>
      <w:r w:rsidR="009373A5" w:rsidRPr="00D4499A">
        <w:t>eologico-</w:t>
      </w:r>
      <w:r w:rsidR="006256B1" w:rsidRPr="00D4499A">
        <w:t>T</w:t>
      </w:r>
      <w:r w:rsidR="009373A5" w:rsidRPr="00D4499A">
        <w:t xml:space="preserve">ecnica per la </w:t>
      </w:r>
      <w:r w:rsidR="006256B1" w:rsidRPr="00D4499A">
        <w:t>M</w:t>
      </w:r>
      <w:r w:rsidR="009373A5" w:rsidRPr="00D4499A">
        <w:t xml:space="preserve">icrozonazione </w:t>
      </w:r>
      <w:r w:rsidR="006256B1" w:rsidRPr="00D4499A">
        <w:t>S</w:t>
      </w:r>
      <w:r w:rsidR="009373A5" w:rsidRPr="00D4499A">
        <w:t>ismica (CGT</w:t>
      </w:r>
      <w:r w:rsidR="008A585D" w:rsidRPr="00D4499A">
        <w:t>_MS</w:t>
      </w:r>
      <w:r w:rsidR="009373A5" w:rsidRPr="00D4499A">
        <w:t>);</w:t>
      </w:r>
    </w:p>
    <w:p w14:paraId="3AE99132" w14:textId="77777777" w:rsidR="009373A5" w:rsidRPr="00D4499A" w:rsidRDefault="00907CCF" w:rsidP="009373A5">
      <w:pPr>
        <w:spacing w:after="0"/>
        <w:jc w:val="both"/>
      </w:pPr>
      <w:r w:rsidRPr="00D4499A">
        <w:t>7</w:t>
      </w:r>
      <w:r w:rsidR="009373A5" w:rsidRPr="00D4499A">
        <w:t>.</w:t>
      </w:r>
      <w:r w:rsidR="009373A5" w:rsidRPr="00D4499A">
        <w:tab/>
        <w:t>Sezioni geologico-tecniche</w:t>
      </w:r>
      <w:r w:rsidRPr="00D4499A">
        <w:t xml:space="preserve"> e modello geologico-tecnico</w:t>
      </w:r>
      <w:r w:rsidR="009373A5" w:rsidRPr="00D4499A">
        <w:t>;</w:t>
      </w:r>
    </w:p>
    <w:p w14:paraId="2D741138" w14:textId="77777777" w:rsidR="009373A5" w:rsidRPr="00D4499A" w:rsidRDefault="00907CCF" w:rsidP="009373A5">
      <w:pPr>
        <w:spacing w:after="0"/>
        <w:jc w:val="both"/>
      </w:pPr>
      <w:r w:rsidRPr="00D4499A">
        <w:t>8</w:t>
      </w:r>
      <w:r w:rsidR="009373A5" w:rsidRPr="00D4499A">
        <w:t>.</w:t>
      </w:r>
      <w:r w:rsidR="009373A5" w:rsidRPr="00D4499A">
        <w:tab/>
        <w:t xml:space="preserve">Carta delle </w:t>
      </w:r>
      <w:r w:rsidR="006256B1" w:rsidRPr="00D4499A">
        <w:t>M</w:t>
      </w:r>
      <w:r w:rsidR="009373A5" w:rsidRPr="00D4499A">
        <w:t xml:space="preserve">icrozone </w:t>
      </w:r>
      <w:r w:rsidR="006256B1" w:rsidRPr="00D4499A">
        <w:t>O</w:t>
      </w:r>
      <w:r w:rsidR="009373A5" w:rsidRPr="00D4499A">
        <w:t xml:space="preserve">mogenee in </w:t>
      </w:r>
      <w:r w:rsidR="006256B1" w:rsidRPr="00D4499A">
        <w:t>P</w:t>
      </w:r>
      <w:r w:rsidR="009373A5" w:rsidRPr="00D4499A">
        <w:t xml:space="preserve">rospettiva </w:t>
      </w:r>
      <w:r w:rsidR="006256B1" w:rsidRPr="00D4499A">
        <w:t>S</w:t>
      </w:r>
      <w:r w:rsidR="009373A5" w:rsidRPr="00D4499A">
        <w:t>ismica (MOPS);</w:t>
      </w:r>
    </w:p>
    <w:p w14:paraId="58C553F4" w14:textId="77777777" w:rsidR="009373A5" w:rsidRPr="00D4499A" w:rsidRDefault="00907CCF" w:rsidP="006256B1">
      <w:pPr>
        <w:spacing w:after="0"/>
        <w:ind w:left="709" w:hanging="709"/>
        <w:jc w:val="both"/>
      </w:pPr>
      <w:r w:rsidRPr="00D4499A">
        <w:t>9</w:t>
      </w:r>
      <w:r w:rsidR="009373A5" w:rsidRPr="00D4499A">
        <w:t>.</w:t>
      </w:r>
      <w:r w:rsidR="009373A5" w:rsidRPr="00D4499A">
        <w:tab/>
        <w:t xml:space="preserve">Carte di </w:t>
      </w:r>
      <w:r w:rsidR="006256B1" w:rsidRPr="00D4499A">
        <w:t>M</w:t>
      </w:r>
      <w:r w:rsidR="009373A5" w:rsidRPr="00D4499A">
        <w:t xml:space="preserve">icrozonazione </w:t>
      </w:r>
      <w:r w:rsidR="006256B1" w:rsidRPr="00D4499A">
        <w:t>S</w:t>
      </w:r>
      <w:r w:rsidR="009373A5" w:rsidRPr="00D4499A">
        <w:t xml:space="preserve">ismica </w:t>
      </w:r>
      <w:r w:rsidR="00785552" w:rsidRPr="00D4499A">
        <w:t xml:space="preserve">(CMS) </w:t>
      </w:r>
      <w:r w:rsidR="009373A5" w:rsidRPr="00D4499A">
        <w:t xml:space="preserve">in scala </w:t>
      </w:r>
      <w:r w:rsidR="006256B1" w:rsidRPr="00D4499A">
        <w:t>(con approfondimenti di livello 3 ove necessario)</w:t>
      </w:r>
      <w:r w:rsidR="009373A5" w:rsidRPr="00D4499A">
        <w:t>;</w:t>
      </w:r>
    </w:p>
    <w:p w14:paraId="2532A3D7" w14:textId="77777777" w:rsidR="009373A5" w:rsidRPr="00D4499A" w:rsidRDefault="00907CCF" w:rsidP="009373A5">
      <w:pPr>
        <w:spacing w:after="0"/>
        <w:jc w:val="both"/>
      </w:pPr>
      <w:r w:rsidRPr="00D4499A">
        <w:t>10</w:t>
      </w:r>
      <w:r w:rsidR="009373A5" w:rsidRPr="00D4499A">
        <w:t>.</w:t>
      </w:r>
      <w:r w:rsidR="009373A5" w:rsidRPr="00D4499A">
        <w:tab/>
        <w:t>Relazione illustrativa.</w:t>
      </w:r>
    </w:p>
    <w:p w14:paraId="22C42DAC" w14:textId="77777777" w:rsidR="009373A5" w:rsidRPr="00D4499A" w:rsidRDefault="00000352" w:rsidP="009373A5">
      <w:pPr>
        <w:spacing w:after="0"/>
        <w:jc w:val="both"/>
      </w:pPr>
      <w:bookmarkStart w:id="5" w:name="_Hlk91697075"/>
      <w:r w:rsidRPr="00D4499A">
        <w:t>Gli elaborati cartografici dovranno essere prodotti in una scala non inferiore a 1:10000, utilizzando preferibilmente la base topografica della Carta Tecnica Regionale (CTR) 1:5000</w:t>
      </w:r>
      <w:r w:rsidR="009373A5" w:rsidRPr="00D4499A">
        <w:t>.</w:t>
      </w:r>
      <w:bookmarkEnd w:id="5"/>
      <w:r w:rsidRPr="00D4499A">
        <w:t xml:space="preserve"> La CGT</w:t>
      </w:r>
      <w:r w:rsidR="008A585D" w:rsidRPr="00D4499A">
        <w:t>_MS</w:t>
      </w:r>
      <w:r w:rsidRPr="00D4499A">
        <w:t xml:space="preserve"> e la Carta delle MOPS dovranno derivare da un aggiornamento dei corrispondenti elaborati cartografici prodotti negli studi di MS1, ad</w:t>
      </w:r>
      <w:r w:rsidR="00520F4A" w:rsidRPr="00D4499A">
        <w:t>e</w:t>
      </w:r>
      <w:r w:rsidRPr="00D4499A">
        <w:t>guandoli agli standard di rappresentazione più recenti (ver</w:t>
      </w:r>
      <w:r w:rsidR="00520F4A" w:rsidRPr="00D4499A">
        <w:t>sione 4.2)</w:t>
      </w:r>
      <w:r w:rsidRPr="00D4499A">
        <w:t xml:space="preserve"> </w:t>
      </w:r>
      <w:r w:rsidR="00520F4A" w:rsidRPr="00D4499A">
        <w:t xml:space="preserve">e </w:t>
      </w:r>
      <w:r w:rsidRPr="00D4499A">
        <w:t>sulla base di nuovi dati acquisiti.</w:t>
      </w:r>
    </w:p>
    <w:p w14:paraId="5B18ECA9" w14:textId="77777777" w:rsidR="009373A5" w:rsidRPr="00D4499A" w:rsidRDefault="009373A5" w:rsidP="009373A5">
      <w:pPr>
        <w:spacing w:after="0"/>
        <w:jc w:val="both"/>
      </w:pPr>
      <w:r w:rsidRPr="00D4499A">
        <w:t>Riguardo alle indagini di nuova acquisizione, l’affidatario è tenuto a consegnare in forma esaustiva la relativa documentazione, inclusi i dati originali.</w:t>
      </w:r>
    </w:p>
    <w:p w14:paraId="663BECAE" w14:textId="77777777" w:rsidR="009373A5" w:rsidRPr="00D4499A" w:rsidRDefault="009373A5" w:rsidP="009373A5">
      <w:pPr>
        <w:spacing w:after="0"/>
        <w:jc w:val="both"/>
      </w:pPr>
      <w:r w:rsidRPr="00D4499A">
        <w:t xml:space="preserve">La CGT e la Carta delle MOPS si estenderanno per almeno tutto il territorio comunale mappato nello studio di MS di livello 1, al fine di: </w:t>
      </w:r>
    </w:p>
    <w:p w14:paraId="23F3AE86" w14:textId="77777777" w:rsidR="009373A5" w:rsidRPr="00D4499A" w:rsidRDefault="009373A5" w:rsidP="009A68BE">
      <w:pPr>
        <w:spacing w:after="0"/>
        <w:ind w:left="284" w:hanging="284"/>
        <w:jc w:val="both"/>
      </w:pPr>
      <w:r w:rsidRPr="00D4499A">
        <w:t xml:space="preserve">1) </w:t>
      </w:r>
      <w:r w:rsidR="009A68BE" w:rsidRPr="00D4499A">
        <w:t>tenere conto delle ulteriori acquisizioni di indagini effettuate nell’intervallo di tempo intercorso dalla conclusione degli studi di MS1 e delle indagini di nuova esecuzione appositamente eseguite;</w:t>
      </w:r>
    </w:p>
    <w:p w14:paraId="567AFFF4" w14:textId="77777777" w:rsidR="009373A5" w:rsidRPr="00D4499A" w:rsidRDefault="009373A5" w:rsidP="00C00B44">
      <w:pPr>
        <w:spacing w:after="0"/>
        <w:ind w:left="284" w:hanging="284"/>
        <w:jc w:val="both"/>
      </w:pPr>
      <w:r w:rsidRPr="00D4499A">
        <w:t xml:space="preserve">2) rendere coerente e omogenea la cartografia tematica sia all’interno </w:t>
      </w:r>
      <w:r w:rsidR="0023096E" w:rsidRPr="00D4499A">
        <w:t>che</w:t>
      </w:r>
      <w:r w:rsidRPr="00D4499A">
        <w:t xml:space="preserve"> all’esterno delle aree scelte per lo studio di MS di livello </w:t>
      </w:r>
      <w:r w:rsidR="001B5C84" w:rsidRPr="00D4499A">
        <w:t>successivo al 1°</w:t>
      </w:r>
      <w:r w:rsidRPr="00D4499A">
        <w:t>.</w:t>
      </w:r>
    </w:p>
    <w:p w14:paraId="47BA1319" w14:textId="77777777" w:rsidR="009373A5" w:rsidRPr="00D4499A" w:rsidRDefault="009373A5" w:rsidP="009373A5">
      <w:pPr>
        <w:spacing w:after="0"/>
        <w:jc w:val="both"/>
      </w:pPr>
      <w:r w:rsidRPr="00D4499A">
        <w:t xml:space="preserve">Le Carte di </w:t>
      </w:r>
      <w:r w:rsidR="00E5593D" w:rsidRPr="00D4499A">
        <w:t>M</w:t>
      </w:r>
      <w:r w:rsidRPr="00D4499A">
        <w:t xml:space="preserve">icrozonazione </w:t>
      </w:r>
      <w:r w:rsidR="00E5593D" w:rsidRPr="00D4499A">
        <w:t>S</w:t>
      </w:r>
      <w:r w:rsidRPr="00D4499A">
        <w:t xml:space="preserve">ismica saranno restituite </w:t>
      </w:r>
      <w:r w:rsidR="0023096E" w:rsidRPr="00D4499A">
        <w:t xml:space="preserve">solo </w:t>
      </w:r>
      <w:r w:rsidR="001B5C84" w:rsidRPr="00D4499A">
        <w:t>per le</w:t>
      </w:r>
      <w:r w:rsidRPr="00D4499A">
        <w:t xml:space="preserve"> aree </w:t>
      </w:r>
      <w:r w:rsidR="001B5C84" w:rsidRPr="00D4499A">
        <w:t>comprese entro la perimetrazione definita con le modalità di cui all’articolo 1</w:t>
      </w:r>
      <w:r w:rsidRPr="00D4499A">
        <w:t xml:space="preserve">. L’affidatario dovrà produrre n. 3 Carte di </w:t>
      </w:r>
      <w:r w:rsidR="00E5593D" w:rsidRPr="00D4499A">
        <w:t>M</w:t>
      </w:r>
      <w:r w:rsidRPr="00D4499A">
        <w:t xml:space="preserve">icrozonazione </w:t>
      </w:r>
      <w:r w:rsidR="00E5593D" w:rsidRPr="00D4499A">
        <w:t>S</w:t>
      </w:r>
      <w:r w:rsidRPr="00D4499A">
        <w:t>ismica, relative ad altrettanti intervalli di periodo: 0.1-0.5 s; 0.4-0.8 s; 0.7-1.1 s.</w:t>
      </w:r>
    </w:p>
    <w:p w14:paraId="487B8FA8" w14:textId="77777777" w:rsidR="00CC72D6" w:rsidRPr="00D4499A" w:rsidRDefault="009373A5" w:rsidP="002A2AEA">
      <w:pPr>
        <w:spacing w:after="0"/>
        <w:jc w:val="both"/>
      </w:pPr>
      <w:bookmarkStart w:id="6" w:name="_Hlk91698873"/>
      <w:r w:rsidRPr="00D4499A">
        <w:t xml:space="preserve">Nelle Carte di </w:t>
      </w:r>
      <w:r w:rsidR="00E5593D" w:rsidRPr="00D4499A">
        <w:t>M</w:t>
      </w:r>
      <w:r w:rsidRPr="00D4499A">
        <w:t xml:space="preserve">icrozonazione </w:t>
      </w:r>
      <w:r w:rsidR="00E5593D" w:rsidRPr="00D4499A">
        <w:t>S</w:t>
      </w:r>
      <w:r w:rsidRPr="00D4499A">
        <w:t>ismica, a ciascuna microzona omogenea sar</w:t>
      </w:r>
      <w:r w:rsidR="00307E23" w:rsidRPr="00D4499A">
        <w:t>anno</w:t>
      </w:r>
      <w:r w:rsidRPr="00D4499A">
        <w:t xml:space="preserve"> associat</w:t>
      </w:r>
      <w:r w:rsidR="00307E23" w:rsidRPr="00D4499A">
        <w:t>i</w:t>
      </w:r>
      <w:r w:rsidRPr="00D4499A">
        <w:t xml:space="preserve"> </w:t>
      </w:r>
      <w:r w:rsidR="00520F4A" w:rsidRPr="00D4499A">
        <w:t>i fattori di amplificazione</w:t>
      </w:r>
      <w:r w:rsidRPr="00D4499A">
        <w:t xml:space="preserve"> </w:t>
      </w:r>
      <w:r w:rsidR="002A2AEA" w:rsidRPr="00D4499A">
        <w:t xml:space="preserve">in superficie dello spettro di risposta elastico in accelerazione (FA) e pseudo-velocità (FV), nonché i </w:t>
      </w:r>
      <w:r w:rsidRPr="00D4499A">
        <w:t>fattor</w:t>
      </w:r>
      <w:r w:rsidR="004D66BB" w:rsidRPr="00D4499A">
        <w:t>i</w:t>
      </w:r>
      <w:r w:rsidRPr="00D4499A">
        <w:t xml:space="preserve"> di amplificazione</w:t>
      </w:r>
      <w:r w:rsidR="004D66BB" w:rsidRPr="00D4499A">
        <w:t xml:space="preserve"> degli spettri di risposta in </w:t>
      </w:r>
      <w:r w:rsidR="00CC72D6" w:rsidRPr="00D4499A">
        <w:t>pseudo-</w:t>
      </w:r>
      <w:r w:rsidR="004D66BB" w:rsidRPr="00D4499A">
        <w:t>accelerazione</w:t>
      </w:r>
      <w:r w:rsidRPr="00D4499A">
        <w:t>, uno per ciascuno dei predetti intervalli di periodo</w:t>
      </w:r>
      <w:r w:rsidR="004D66BB" w:rsidRPr="00D4499A">
        <w:t xml:space="preserve"> (FA0105, FA0408, FA0711)</w:t>
      </w:r>
      <w:r w:rsidR="00C37FD3" w:rsidRPr="00D4499A">
        <w:t>, secondo le definizioni date in ICMS 2008 (</w:t>
      </w:r>
      <w:r w:rsidR="00B36C82" w:rsidRPr="00D4499A">
        <w:t xml:space="preserve">Gruppo di Lavoro MS, 2008 - </w:t>
      </w:r>
      <w:r w:rsidR="00C37FD3" w:rsidRPr="00D4499A">
        <w:t>Volume II - sezione 3.2.3) e negli Standard di rappresentazione ed archiviazione informatica dei dati (</w:t>
      </w:r>
      <w:r w:rsidR="00B36C82" w:rsidRPr="00D4499A">
        <w:t>Commissione tecnica per la microzonazione sismica, 2019</w:t>
      </w:r>
      <w:r w:rsidR="00C37FD3" w:rsidRPr="00D4499A">
        <w:t>)</w:t>
      </w:r>
      <w:r w:rsidRPr="00D4499A">
        <w:t xml:space="preserve">. </w:t>
      </w:r>
      <w:bookmarkEnd w:id="6"/>
      <w:r w:rsidR="00CC72D6" w:rsidRPr="00D4499A">
        <w:t xml:space="preserve">Questi fattori dovranno essere obbligatoriamente inseriti nel DB nel caso di MS3 e facoltativamente nel caso di MS2, qualora siano disponibili abachi regionalizzati. </w:t>
      </w:r>
      <w:r w:rsidR="001659ED" w:rsidRPr="00D4499A">
        <w:t>Facoltativamente potranno essere aggiunti ulteriori fattori di amplificazione tra quelli</w:t>
      </w:r>
      <w:r w:rsidR="00C42CE9" w:rsidRPr="00D4499A">
        <w:t xml:space="preserve"> elencati nella Tabella 1.1.4-1 </w:t>
      </w:r>
      <w:r w:rsidR="00C37FD3" w:rsidRPr="00D4499A">
        <w:t xml:space="preserve">degli Standard </w:t>
      </w:r>
      <w:r w:rsidR="00C42CE9" w:rsidRPr="00D4499A">
        <w:t>a pag. 36 (</w:t>
      </w:r>
      <w:r w:rsidR="001659ED" w:rsidRPr="00D4499A">
        <w:t>Ft, FPGA, FH0105, FH0408, FH0711</w:t>
      </w:r>
      <w:r w:rsidR="00C42CE9" w:rsidRPr="00D4499A">
        <w:t>).</w:t>
      </w:r>
    </w:p>
    <w:p w14:paraId="4742F73F" w14:textId="77777777" w:rsidR="009373A5" w:rsidRPr="00D4499A" w:rsidRDefault="009373A5" w:rsidP="00456A2F">
      <w:pPr>
        <w:tabs>
          <w:tab w:val="left" w:pos="567"/>
        </w:tabs>
        <w:spacing w:after="0"/>
        <w:jc w:val="both"/>
      </w:pPr>
      <w:r w:rsidRPr="00D4499A">
        <w:t xml:space="preserve">I fattori di amplificazione dovranno essere calcolati con riferimento </w:t>
      </w:r>
      <w:r w:rsidR="00CC72D6" w:rsidRPr="00D4499A">
        <w:t>ai singoli spettri</w:t>
      </w:r>
      <w:r w:rsidRPr="00D4499A">
        <w:t xml:space="preserve"> di input (</w:t>
      </w:r>
      <w:r w:rsidR="00CC72D6" w:rsidRPr="00D4499A">
        <w:t xml:space="preserve">in numero pari a 7, </w:t>
      </w:r>
      <w:r w:rsidRPr="00D4499A">
        <w:t xml:space="preserve">messi a disposizione dal </w:t>
      </w:r>
      <w:r w:rsidR="00E5593D" w:rsidRPr="00D4499A">
        <w:t>GLSTS</w:t>
      </w:r>
      <w:r w:rsidRPr="00D4499A">
        <w:t xml:space="preserve">) e </w:t>
      </w:r>
      <w:r w:rsidR="00CC72D6" w:rsidRPr="00D4499A">
        <w:t xml:space="preserve">i relativi spettri </w:t>
      </w:r>
      <w:r w:rsidRPr="00D4499A">
        <w:t xml:space="preserve">di output (risultati delle analisi numeriche). </w:t>
      </w:r>
      <w:r w:rsidR="00CC72D6" w:rsidRPr="00D4499A">
        <w:lastRenderedPageBreak/>
        <w:t>Successivamente si calcoleranno i valori rappresentativi dei fattori di amplificazione come mediana dei 7 valori singolarmente calcolati per ogni scenario di scuotimento, relativi a ciascuno dei tre intervalli di periodo prefissati (0.1-0.5 s; 0.4-0.8 s; 0.7-1.1 s).</w:t>
      </w:r>
    </w:p>
    <w:p w14:paraId="6F141635" w14:textId="77777777" w:rsidR="009373A5" w:rsidRPr="00D4499A" w:rsidRDefault="009373A5" w:rsidP="009373A5">
      <w:pPr>
        <w:spacing w:after="0"/>
        <w:jc w:val="both"/>
      </w:pPr>
      <w:r w:rsidRPr="00D4499A">
        <w:t>La Relazione illustrativa dovrà essere predisposta secondo l’indice riportato nell’Allegato 1.</w:t>
      </w:r>
    </w:p>
    <w:p w14:paraId="70A4E5CA" w14:textId="77777777" w:rsidR="009373A5" w:rsidRPr="00D4499A" w:rsidRDefault="009373A5" w:rsidP="009373A5">
      <w:pPr>
        <w:spacing w:after="0"/>
        <w:jc w:val="both"/>
      </w:pPr>
      <w:r w:rsidRPr="00D4499A">
        <w:t>In sintesi, per ogni microzona omogenea l’affidatario dovrà produrre:</w:t>
      </w:r>
    </w:p>
    <w:p w14:paraId="01105E03" w14:textId="77777777" w:rsidR="009373A5" w:rsidRPr="00D4499A" w:rsidRDefault="009373A5" w:rsidP="00456A2F">
      <w:pPr>
        <w:pStyle w:val="Paragrafoelenco"/>
        <w:numPr>
          <w:ilvl w:val="0"/>
          <w:numId w:val="38"/>
        </w:numPr>
        <w:spacing w:after="0"/>
        <w:ind w:left="426"/>
        <w:jc w:val="both"/>
      </w:pPr>
      <w:r w:rsidRPr="00D4499A">
        <w:t xml:space="preserve">n. </w:t>
      </w:r>
      <w:r w:rsidR="00B24946" w:rsidRPr="00D4499A">
        <w:t>5</w:t>
      </w:r>
      <w:r w:rsidRPr="00D4499A">
        <w:t xml:space="preserve"> fattori di amplificazione</w:t>
      </w:r>
      <w:r w:rsidR="00CC72D6" w:rsidRPr="00D4499A">
        <w:t xml:space="preserve"> da inserire obbligatoriamente nel DB (</w:t>
      </w:r>
      <w:r w:rsidR="00B67807" w:rsidRPr="00D4499A">
        <w:t xml:space="preserve">FA, FV, </w:t>
      </w:r>
      <w:r w:rsidR="00CC72D6" w:rsidRPr="00D4499A">
        <w:t>FA0105</w:t>
      </w:r>
      <w:r w:rsidR="00B36C82" w:rsidRPr="00D4499A">
        <w:t>,</w:t>
      </w:r>
      <w:r w:rsidR="00CC72D6" w:rsidRPr="00D4499A">
        <w:t xml:space="preserve"> FA0408</w:t>
      </w:r>
      <w:r w:rsidR="00B36C82" w:rsidRPr="00D4499A">
        <w:t>,</w:t>
      </w:r>
      <w:r w:rsidR="00CC72D6" w:rsidRPr="00D4499A">
        <w:t xml:space="preserve"> FA0711)</w:t>
      </w:r>
      <w:r w:rsidR="00B67807" w:rsidRPr="00D4499A">
        <w:t xml:space="preserve"> e, facoltativamente, uno o più di </w:t>
      </w:r>
      <w:r w:rsidR="00CC72D6" w:rsidRPr="00D4499A">
        <w:t xml:space="preserve">n. </w:t>
      </w:r>
      <w:r w:rsidR="00B67807" w:rsidRPr="00D4499A">
        <w:t>5</w:t>
      </w:r>
      <w:r w:rsidR="00CC72D6" w:rsidRPr="00D4499A">
        <w:t xml:space="preserve"> fattori di amplificazione aggiuntivi (Ft</w:t>
      </w:r>
      <w:r w:rsidR="00516875" w:rsidRPr="00D4499A">
        <w:t>,</w:t>
      </w:r>
      <w:r w:rsidR="00CC72D6" w:rsidRPr="00D4499A">
        <w:t xml:space="preserve"> </w:t>
      </w:r>
      <w:r w:rsidR="00516875" w:rsidRPr="00D4499A">
        <w:t>F</w:t>
      </w:r>
      <w:r w:rsidR="00CC72D6" w:rsidRPr="00D4499A">
        <w:t>PGA</w:t>
      </w:r>
      <w:r w:rsidR="00516875" w:rsidRPr="00D4499A">
        <w:t>, FH0105, FH0510; FH</w:t>
      </w:r>
      <w:r w:rsidR="00A54432" w:rsidRPr="00D4499A">
        <w:t>05</w:t>
      </w:r>
      <w:r w:rsidR="00516875" w:rsidRPr="00D4499A">
        <w:t>15</w:t>
      </w:r>
      <w:r w:rsidR="00A54432" w:rsidRPr="00D4499A">
        <w:t>)</w:t>
      </w:r>
      <w:r w:rsidRPr="00D4499A">
        <w:t>;</w:t>
      </w:r>
    </w:p>
    <w:p w14:paraId="6BF354A8" w14:textId="77777777" w:rsidR="009373A5" w:rsidRPr="00D4499A" w:rsidRDefault="009373A5" w:rsidP="00456A2F">
      <w:pPr>
        <w:pStyle w:val="Paragrafoelenco"/>
        <w:numPr>
          <w:ilvl w:val="0"/>
          <w:numId w:val="38"/>
        </w:numPr>
        <w:spacing w:after="0"/>
        <w:ind w:left="426"/>
        <w:jc w:val="both"/>
      </w:pPr>
      <w:r w:rsidRPr="00D4499A">
        <w:t>n. 7 accelerogrammi calcolati in superficie, uno per ogni spettro di input;</w:t>
      </w:r>
    </w:p>
    <w:p w14:paraId="71039A61" w14:textId="77777777" w:rsidR="009373A5" w:rsidRPr="00D4499A" w:rsidRDefault="009373A5" w:rsidP="00456A2F">
      <w:pPr>
        <w:pStyle w:val="Paragrafoelenco"/>
        <w:numPr>
          <w:ilvl w:val="0"/>
          <w:numId w:val="38"/>
        </w:numPr>
        <w:spacing w:after="0"/>
        <w:ind w:left="426"/>
        <w:jc w:val="both"/>
      </w:pPr>
      <w:r w:rsidRPr="00D4499A">
        <w:t>n. 7 spettri di risposta elastici al 5% di smorzamento in superficie, uno per ogni spettro di input</w:t>
      </w:r>
      <w:r w:rsidR="00516875" w:rsidRPr="00D4499A">
        <w:t>, in termini di pseudo-velocità e pseudo-accelerazione</w:t>
      </w:r>
      <w:r w:rsidRPr="00D4499A">
        <w:t xml:space="preserve">; </w:t>
      </w:r>
    </w:p>
    <w:p w14:paraId="32466F74" w14:textId="77777777" w:rsidR="009373A5" w:rsidRPr="00D4499A" w:rsidRDefault="00B24946" w:rsidP="00456A2F">
      <w:pPr>
        <w:pStyle w:val="Paragrafoelenco"/>
        <w:numPr>
          <w:ilvl w:val="0"/>
          <w:numId w:val="38"/>
        </w:numPr>
        <w:spacing w:after="0"/>
        <w:ind w:left="426"/>
        <w:jc w:val="both"/>
      </w:pPr>
      <w:r w:rsidRPr="00D4499A">
        <w:t xml:space="preserve">la </w:t>
      </w:r>
      <w:r w:rsidR="009373A5" w:rsidRPr="00D4499A">
        <w:t>categoria di sottosuolo</w:t>
      </w:r>
      <w:r w:rsidR="006A3AD9" w:rsidRPr="00D4499A">
        <w:t xml:space="preserve">, se </w:t>
      </w:r>
      <w:r w:rsidR="00184614" w:rsidRPr="00D4499A">
        <w:t>classificabile</w:t>
      </w:r>
      <w:r w:rsidR="006A3AD9" w:rsidRPr="00D4499A">
        <w:t>, e</w:t>
      </w:r>
      <w:r w:rsidR="00EB726C" w:rsidRPr="00D4499A">
        <w:t xml:space="preserve"> il</w:t>
      </w:r>
      <w:r w:rsidR="006A3AD9" w:rsidRPr="00D4499A">
        <w:t xml:space="preserve"> valore di V</w:t>
      </w:r>
      <w:r w:rsidR="006A3AD9" w:rsidRPr="00D4499A">
        <w:rPr>
          <w:vertAlign w:val="subscript"/>
        </w:rPr>
        <w:t>S</w:t>
      </w:r>
      <w:r w:rsidR="00563118" w:rsidRPr="00D4499A">
        <w:rPr>
          <w:vertAlign w:val="subscript"/>
        </w:rPr>
        <w:t>,eq</w:t>
      </w:r>
      <w:r w:rsidR="00184614" w:rsidRPr="00D4499A">
        <w:t xml:space="preserve">, </w:t>
      </w:r>
      <w:r w:rsidR="006A3AD9" w:rsidRPr="00D4499A">
        <w:t>secondo le definizioni riportate nelle</w:t>
      </w:r>
      <w:r w:rsidR="009373A5" w:rsidRPr="00D4499A">
        <w:t xml:space="preserve"> NTC</w:t>
      </w:r>
      <w:r w:rsidR="00184614" w:rsidRPr="00D4499A">
        <w:t xml:space="preserve"> 2018</w:t>
      </w:r>
      <w:r w:rsidR="009373A5" w:rsidRPr="00D4499A">
        <w:t>.</w:t>
      </w:r>
    </w:p>
    <w:p w14:paraId="532E847D" w14:textId="77777777" w:rsidR="009373A5" w:rsidRPr="00D4499A" w:rsidRDefault="009373A5" w:rsidP="009373A5">
      <w:pPr>
        <w:spacing w:after="0"/>
        <w:jc w:val="both"/>
      </w:pPr>
      <w:r w:rsidRPr="00D4499A">
        <w:t>L’affidatario dovrà inserire nell’archivio degli strati informativi:</w:t>
      </w:r>
    </w:p>
    <w:p w14:paraId="3A9D96F6" w14:textId="77777777" w:rsidR="009373A5" w:rsidRPr="00D4499A" w:rsidRDefault="009373A5" w:rsidP="00184614">
      <w:pPr>
        <w:spacing w:after="0"/>
        <w:ind w:left="709" w:hanging="709"/>
        <w:jc w:val="both"/>
      </w:pPr>
      <w:r w:rsidRPr="00D4499A">
        <w:t>-</w:t>
      </w:r>
      <w:r w:rsidRPr="00D4499A">
        <w:tab/>
        <w:t>i file degli accelerogrammi e degli spettri di risposta elastici in superficie per ogni microzona, in formato testo (.txt) realizzato secondo la struttura prevista dagli Standard Versione 4.</w:t>
      </w:r>
      <w:r w:rsidR="00184614" w:rsidRPr="00D4499A">
        <w:t>2</w:t>
      </w:r>
      <w:r w:rsidRPr="00D4499A">
        <w:t>.</w:t>
      </w:r>
    </w:p>
    <w:p w14:paraId="4AB53641" w14:textId="77777777" w:rsidR="009373A5" w:rsidRPr="00D4499A" w:rsidRDefault="009373A5" w:rsidP="00184614">
      <w:pPr>
        <w:spacing w:after="0"/>
        <w:ind w:left="709" w:hanging="709"/>
        <w:jc w:val="both"/>
      </w:pPr>
      <w:r w:rsidRPr="00D4499A">
        <w:t>-</w:t>
      </w:r>
      <w:r w:rsidRPr="00D4499A">
        <w:tab/>
        <w:t>una scheda contenente i metadati di base degli strati informativi</w:t>
      </w:r>
      <w:r w:rsidR="00184614" w:rsidRPr="00D4499A">
        <w:t>, la cui struttura sarà messa a disposizione dal GLSTS</w:t>
      </w:r>
      <w:r w:rsidRPr="00D4499A">
        <w:t>.</w:t>
      </w:r>
    </w:p>
    <w:p w14:paraId="24EF421E" w14:textId="77777777" w:rsidR="00991A71" w:rsidRPr="00D4499A" w:rsidRDefault="00991A71" w:rsidP="00184614">
      <w:pPr>
        <w:spacing w:after="0"/>
        <w:ind w:left="709" w:hanging="709"/>
        <w:jc w:val="both"/>
      </w:pPr>
    </w:p>
    <w:p w14:paraId="09C83EF6" w14:textId="77777777" w:rsidR="00AF06AA" w:rsidRPr="00D4499A" w:rsidRDefault="00AF06AA" w:rsidP="00AF06AA">
      <w:pPr>
        <w:spacing w:after="0"/>
        <w:jc w:val="both"/>
        <w:rPr>
          <w:b/>
        </w:rPr>
      </w:pPr>
      <w:r w:rsidRPr="00D4499A">
        <w:rPr>
          <w:b/>
        </w:rPr>
        <w:t>Articolo 5. Modalità di esecuzione</w:t>
      </w:r>
    </w:p>
    <w:p w14:paraId="62241079" w14:textId="77777777" w:rsidR="00AF06AA" w:rsidRPr="00D4499A" w:rsidRDefault="00AF06AA" w:rsidP="00AF06AA">
      <w:pPr>
        <w:spacing w:after="0"/>
        <w:jc w:val="both"/>
      </w:pPr>
      <w:r w:rsidRPr="00D4499A">
        <w:t>Le modalità di esecuzione raccomandate sono descritte nei protocolli predisposti dal GLSTS. Per svolgere incarichi riguardant</w:t>
      </w:r>
      <w:r w:rsidR="00113EDE" w:rsidRPr="00D4499A">
        <w:t>i</w:t>
      </w:r>
      <w:r w:rsidRPr="00D4499A">
        <w:t xml:space="preserve"> studi di MS nella regione Puglia, l’affidatario deve obbligatoriamente aver frequentato le attività formative seminariali illustrative dei suddetti protocolli organizzat</w:t>
      </w:r>
      <w:r w:rsidR="003C69D2" w:rsidRPr="00D4499A">
        <w:t>e</w:t>
      </w:r>
      <w:r w:rsidRPr="00D4499A">
        <w:t xml:space="preserve"> dal GLSTS.</w:t>
      </w:r>
    </w:p>
    <w:p w14:paraId="1C98D923" w14:textId="77777777" w:rsidR="006B45B8" w:rsidRPr="00D4499A" w:rsidRDefault="006B45B8" w:rsidP="006B45B8">
      <w:pPr>
        <w:spacing w:after="0"/>
        <w:jc w:val="both"/>
      </w:pPr>
      <w:r w:rsidRPr="00D4499A">
        <w:t>L’affidatario si impegna a consultare la perimetrazione delle aree su cui effettuare gli studi, i dati e gli studi pregressi che saranno messi a disposizione dalla Regione.</w:t>
      </w:r>
    </w:p>
    <w:p w14:paraId="2ECECBC3" w14:textId="77777777" w:rsidR="00AF06AA" w:rsidRPr="00D4499A" w:rsidRDefault="00AF06AA" w:rsidP="00AF06AA">
      <w:pPr>
        <w:spacing w:after="0"/>
        <w:jc w:val="both"/>
      </w:pPr>
      <w:r w:rsidRPr="00D4499A">
        <w:t>L’affidatario dovrà inoltre lavorare in coordinamento con il GLSTS, dal quale accetta sin da ora le indicazioni</w:t>
      </w:r>
      <w:r w:rsidR="000C6E81" w:rsidRPr="00D4499A">
        <w:t xml:space="preserve">, i dati e le elaborazioni specifiche che gli saranno forniti, </w:t>
      </w:r>
      <w:bookmarkStart w:id="7" w:name="_Hlk91699099"/>
      <w:r w:rsidR="000C6E81" w:rsidRPr="00D4499A">
        <w:t>riguardanti</w:t>
      </w:r>
      <w:r w:rsidR="00B24946" w:rsidRPr="00D4499A">
        <w:t>,</w:t>
      </w:r>
      <w:r w:rsidR="000C6E81" w:rsidRPr="00D4499A">
        <w:t xml:space="preserve"> </w:t>
      </w:r>
      <w:r w:rsidR="00B24946" w:rsidRPr="00D4499A">
        <w:t xml:space="preserve">in particolare, </w:t>
      </w:r>
      <w:bookmarkEnd w:id="7"/>
      <w:r w:rsidR="0057035A" w:rsidRPr="00D4499A">
        <w:t>le prove di laboratorio</w:t>
      </w:r>
      <w:r w:rsidR="00720465" w:rsidRPr="00D4499A">
        <w:t xml:space="preserve"> sui campioni consegnati,</w:t>
      </w:r>
      <w:r w:rsidR="0057035A" w:rsidRPr="00D4499A">
        <w:t xml:space="preserve"> </w:t>
      </w:r>
      <w:r w:rsidR="000C6E81" w:rsidRPr="00D4499A">
        <w:t>l’input sismico per le elaborazioni 1D</w:t>
      </w:r>
      <w:r w:rsidR="006B45B8" w:rsidRPr="00D4499A">
        <w:t xml:space="preserve"> e</w:t>
      </w:r>
      <w:r w:rsidR="000C6E81" w:rsidRPr="00D4499A">
        <w:t xml:space="preserve"> le analisi di risposta sismica locale bidimensionale (2D)</w:t>
      </w:r>
      <w:r w:rsidR="006B45B8" w:rsidRPr="00D4499A">
        <w:t>. L’affidatario dovrà inoltre sottoporre</w:t>
      </w:r>
      <w:r w:rsidR="000C6E81" w:rsidRPr="00D4499A">
        <w:t xml:space="preserve"> </w:t>
      </w:r>
      <w:r w:rsidRPr="00D4499A">
        <w:t>le elaborazioni e i documenti prodotti nel corso dell’espletamento del servizio</w:t>
      </w:r>
      <w:r w:rsidR="006B45B8" w:rsidRPr="00D4499A">
        <w:t xml:space="preserve"> al benestare del</w:t>
      </w:r>
      <w:r w:rsidRPr="00D4499A">
        <w:t xml:space="preserve"> GLSTS prima della consegna definitiva al Comune. </w:t>
      </w:r>
    </w:p>
    <w:p w14:paraId="4E6BCC95" w14:textId="77777777" w:rsidR="00AF06AA" w:rsidRPr="00D4499A" w:rsidRDefault="00AF06AA" w:rsidP="00AF06AA">
      <w:pPr>
        <w:autoSpaceDE w:val="0"/>
        <w:autoSpaceDN w:val="0"/>
        <w:adjustRightInd w:val="0"/>
        <w:spacing w:after="0" w:line="240" w:lineRule="auto"/>
        <w:jc w:val="both"/>
      </w:pPr>
      <w:r w:rsidRPr="00D4499A">
        <w:t>L’affidatario si impegna a coordinarsi strettamente con gli affidatari dei Comuni limitrofi sui quali è in corso o sono stati effettuati studi di MS, cooperando, sotto il coordinamento del GLSTS, per garantire l’omogeneità e il livello qualitativo dei prodotti di MS.</w:t>
      </w:r>
    </w:p>
    <w:p w14:paraId="18945AAE" w14:textId="77777777" w:rsidR="00010D15" w:rsidRPr="00D4499A" w:rsidRDefault="00010D15" w:rsidP="00010D15">
      <w:pPr>
        <w:spacing w:after="0"/>
        <w:jc w:val="both"/>
      </w:pPr>
      <w:r w:rsidRPr="00D4499A">
        <w:t>Per le zone instabili l’affidatario dovrà seguire, in accordo con il GLSTS, le procedure stabilite nelle linee guida per la gestione del territorio interessato da faglie attive e capaci (FAC), da liquefazioni (LQ) e da instabilità di versante sismoindotte (FR), di cui all’articolo 12.</w:t>
      </w:r>
    </w:p>
    <w:p w14:paraId="0E6783EE" w14:textId="77777777" w:rsidR="00010D15" w:rsidRPr="00D4499A" w:rsidRDefault="00010D15" w:rsidP="00010D15">
      <w:pPr>
        <w:spacing w:after="0"/>
        <w:jc w:val="both"/>
      </w:pPr>
      <w:r w:rsidRPr="00D4499A">
        <w:t>L’affidatario ha l’obbligo di comunicare al GLSTS la data di inizio e fine delle attività</w:t>
      </w:r>
      <w:r w:rsidR="00BB1256" w:rsidRPr="00D4499A">
        <w:t xml:space="preserve">, </w:t>
      </w:r>
      <w:r w:rsidR="00B36C82" w:rsidRPr="00D4499A">
        <w:t>inviando</w:t>
      </w:r>
      <w:r w:rsidR="00BB1256" w:rsidRPr="00D4499A">
        <w:t xml:space="preserve"> la comunicazione al</w:t>
      </w:r>
      <w:r w:rsidR="002A5482" w:rsidRPr="00D4499A">
        <w:t>l’indirizzo e-mail del</w:t>
      </w:r>
      <w:r w:rsidR="00BB1256" w:rsidRPr="00D4499A">
        <w:t xml:space="preserve"> responsabile </w:t>
      </w:r>
      <w:r w:rsidR="002A5482" w:rsidRPr="00D4499A">
        <w:t>della Unità Operativa di Coordinamento del DiSTeGeo (</w:t>
      </w:r>
      <w:hyperlink r:id="rId9" w:history="1">
        <w:r w:rsidR="00276F52" w:rsidRPr="00D4499A">
          <w:rPr>
            <w:rStyle w:val="Collegamentoipertestuale"/>
            <w:color w:val="auto"/>
          </w:rPr>
          <w:t>vincenzo.delgaudio@uniba.it</w:t>
        </w:r>
      </w:hyperlink>
      <w:r w:rsidR="002A5482" w:rsidRPr="00D4499A">
        <w:t>)</w:t>
      </w:r>
      <w:r w:rsidR="00276F52" w:rsidRPr="00D4499A">
        <w:t xml:space="preserve">. L’affidatario deve inoltre </w:t>
      </w:r>
      <w:r w:rsidRPr="00D4499A">
        <w:t xml:space="preserve">rendersi disponibile a partecipare ad almeno 3 riunioni con i rappresentanti del Comune, della Regione e del GLSTS, di cui una all’avvio delle attività del servizio e le altre due a stadi intermedi delle suddette attività, per relazionare in merito allo stato di avanzamento, secondo quanto indicato </w:t>
      </w:r>
      <w:r w:rsidR="0066260E" w:rsidRPr="00D4499A">
        <w:t>d</w:t>
      </w:r>
      <w:r w:rsidRPr="00D4499A">
        <w:t xml:space="preserve">al cronoprogramma di cui all’articolo 8. </w:t>
      </w:r>
    </w:p>
    <w:p w14:paraId="343CF636" w14:textId="77777777" w:rsidR="00C94304" w:rsidRPr="00D4499A" w:rsidRDefault="00C94304" w:rsidP="00C94304">
      <w:pPr>
        <w:spacing w:after="0"/>
        <w:jc w:val="both"/>
      </w:pPr>
      <w:r w:rsidRPr="00D4499A">
        <w:t>La relazione dell’affidatario avverrà in forma sintetica ma esaustiva e riguarderà almeno i seguenti punti:</w:t>
      </w:r>
    </w:p>
    <w:p w14:paraId="21BE4AAA" w14:textId="77777777" w:rsidR="00C94304" w:rsidRPr="00D4499A" w:rsidRDefault="00C94304" w:rsidP="00C94304">
      <w:pPr>
        <w:spacing w:after="0"/>
        <w:jc w:val="both"/>
      </w:pPr>
      <w:r w:rsidRPr="00D4499A">
        <w:t>-</w:t>
      </w:r>
      <w:r w:rsidRPr="00D4499A">
        <w:tab/>
        <w:t>programma delle indagini,</w:t>
      </w:r>
    </w:p>
    <w:p w14:paraId="1C431575" w14:textId="77777777" w:rsidR="00C94304" w:rsidRPr="00D4499A" w:rsidRDefault="00C94304" w:rsidP="00C94304">
      <w:pPr>
        <w:spacing w:after="0"/>
        <w:jc w:val="both"/>
      </w:pPr>
      <w:r w:rsidRPr="00D4499A">
        <w:t>-</w:t>
      </w:r>
      <w:r w:rsidRPr="00D4499A">
        <w:tab/>
        <w:t>cronoprogramma delle indagini,</w:t>
      </w:r>
    </w:p>
    <w:p w14:paraId="549AD7BC" w14:textId="77777777" w:rsidR="00C94304" w:rsidRPr="00D4499A" w:rsidRDefault="00C94304" w:rsidP="00C94304">
      <w:pPr>
        <w:spacing w:after="0"/>
        <w:jc w:val="both"/>
      </w:pPr>
      <w:r w:rsidRPr="00D4499A">
        <w:t>-</w:t>
      </w:r>
      <w:r w:rsidRPr="00D4499A">
        <w:tab/>
        <w:t>strumentazione utilizzata,</w:t>
      </w:r>
    </w:p>
    <w:p w14:paraId="535323E8" w14:textId="77777777" w:rsidR="00C94304" w:rsidRPr="00D4499A" w:rsidRDefault="00C94304" w:rsidP="00C94304">
      <w:pPr>
        <w:spacing w:after="0"/>
        <w:jc w:val="both"/>
      </w:pPr>
      <w:r w:rsidRPr="00D4499A">
        <w:t>-</w:t>
      </w:r>
      <w:r w:rsidRPr="00D4499A">
        <w:tab/>
        <w:t>eventuali variazioni sul programma e cronoprogramma,</w:t>
      </w:r>
    </w:p>
    <w:p w14:paraId="3795689A" w14:textId="77777777" w:rsidR="00C94304" w:rsidRPr="00D4499A" w:rsidRDefault="00C94304" w:rsidP="00C94304">
      <w:pPr>
        <w:spacing w:after="0"/>
        <w:jc w:val="both"/>
      </w:pPr>
      <w:r w:rsidRPr="00D4499A">
        <w:t>-</w:t>
      </w:r>
      <w:r w:rsidRPr="00D4499A">
        <w:tab/>
        <w:t>modalità di elaborazione dei dati acquisiti,</w:t>
      </w:r>
    </w:p>
    <w:p w14:paraId="79DAB64E" w14:textId="77777777" w:rsidR="00C94304" w:rsidRPr="00825D2E" w:rsidRDefault="00C94304" w:rsidP="00C94304">
      <w:pPr>
        <w:spacing w:after="0"/>
        <w:jc w:val="both"/>
      </w:pPr>
      <w:r w:rsidRPr="00825D2E">
        <w:lastRenderedPageBreak/>
        <w:t>-</w:t>
      </w:r>
      <w:r w:rsidRPr="00825D2E">
        <w:tab/>
        <w:t>risultati e modalità di presentazione degli stessi (sviluppo del database e della cartografia).</w:t>
      </w:r>
    </w:p>
    <w:p w14:paraId="5690D0C9" w14:textId="77777777" w:rsidR="00085036" w:rsidRPr="00825D2E" w:rsidRDefault="00AF06AA" w:rsidP="00C94304">
      <w:pPr>
        <w:spacing w:after="0"/>
        <w:jc w:val="both"/>
      </w:pPr>
      <w:r w:rsidRPr="00825D2E">
        <w:t xml:space="preserve">Gli elaborati finali, previo benestare del GLSTS, saranno consegnati </w:t>
      </w:r>
      <w:r w:rsidR="00085036" w:rsidRPr="00825D2E">
        <w:t>dai professionisti alla Sezione Protezione Civile, la quale provvederà alla trasmissione alla Commissione Tecnica nazionale per la validazione</w:t>
      </w:r>
      <w:r w:rsidRPr="00825D2E">
        <w:t xml:space="preserve">. </w:t>
      </w:r>
    </w:p>
    <w:p w14:paraId="0CA69201" w14:textId="362C08BF" w:rsidR="00AF06AA" w:rsidRPr="00D4499A" w:rsidRDefault="00FC056D" w:rsidP="00C94304">
      <w:pPr>
        <w:spacing w:after="0"/>
        <w:jc w:val="both"/>
      </w:pPr>
      <w:r w:rsidRPr="00825D2E">
        <w:t>Ottenuto il parere della Commissione tecnica</w:t>
      </w:r>
      <w:r w:rsidR="00825D2E" w:rsidRPr="00825D2E">
        <w:t>,</w:t>
      </w:r>
      <w:r w:rsidRPr="00825D2E">
        <w:t xml:space="preserve"> la Sezione Protezione Civile della Regione Puglia trasmetterà al Comune il certificato di conformità degli Studi</w:t>
      </w:r>
      <w:r w:rsidR="00085036" w:rsidRPr="00825D2E">
        <w:t xml:space="preserve">. Gli studi validati dovranno essere trasmessi dal professionista al Comune </w:t>
      </w:r>
      <w:r w:rsidR="00AF06AA" w:rsidRPr="00825D2E">
        <w:t>in n. 3 copie, di cui: n. 1 copia in formato cartaceo e n. 2 copie su supporto digitale.</w:t>
      </w:r>
    </w:p>
    <w:p w14:paraId="6D3BE1D0" w14:textId="77777777" w:rsidR="00AF06AA" w:rsidRPr="00D4499A" w:rsidRDefault="00AF06AA" w:rsidP="00AF06AA">
      <w:pPr>
        <w:spacing w:after="0"/>
        <w:jc w:val="both"/>
      </w:pPr>
      <w:r w:rsidRPr="00D4499A">
        <w:t xml:space="preserve">L’affidatario è tenuto a </w:t>
      </w:r>
      <w:r w:rsidR="00077D57" w:rsidRPr="00D4499A">
        <w:t xml:space="preserve">formulare l’intestazione </w:t>
      </w:r>
      <w:r w:rsidRPr="00D4499A">
        <w:t xml:space="preserve">degli elaborati </w:t>
      </w:r>
      <w:r w:rsidR="00077D57" w:rsidRPr="00D4499A">
        <w:t xml:space="preserve">secondo quanto prescritto dagli standard descritti nelle relative Linee Guida, riportando </w:t>
      </w:r>
      <w:r w:rsidRPr="00D4499A">
        <w:t>i loghi dell'ente attuatore, della Regione di riferimento, del DiSTeGeo e del CNR-IRPI</w:t>
      </w:r>
      <w:r w:rsidR="00077D57" w:rsidRPr="00D4499A">
        <w:t>.</w:t>
      </w:r>
    </w:p>
    <w:p w14:paraId="2D52E445" w14:textId="77777777" w:rsidR="00AF06AA" w:rsidRPr="00D4499A" w:rsidRDefault="00AF06AA" w:rsidP="00AF06AA">
      <w:pPr>
        <w:spacing w:after="0"/>
        <w:jc w:val="both"/>
        <w:rPr>
          <w:b/>
        </w:rPr>
      </w:pPr>
    </w:p>
    <w:p w14:paraId="600C00B5" w14:textId="77777777" w:rsidR="00AF06AA" w:rsidRPr="00D4499A" w:rsidRDefault="00AF06AA" w:rsidP="00AF06AA">
      <w:pPr>
        <w:spacing w:after="0"/>
        <w:jc w:val="both"/>
      </w:pPr>
      <w:r w:rsidRPr="00D4499A">
        <w:rPr>
          <w:b/>
        </w:rPr>
        <w:t>Articolo 6. Determinazione dei compensi</w:t>
      </w:r>
    </w:p>
    <w:p w14:paraId="47841132" w14:textId="77777777" w:rsidR="00AF06AA" w:rsidRPr="00D4499A" w:rsidRDefault="00AF06AA" w:rsidP="00AF06AA">
      <w:pPr>
        <w:spacing w:after="0"/>
        <w:jc w:val="both"/>
      </w:pPr>
      <w:r w:rsidRPr="00D4499A">
        <w:t xml:space="preserve">L’importo dell’incarico di cui al presente disciplinare è pari ad € _____________________ (contributo previdenziale </w:t>
      </w:r>
      <w:r w:rsidRPr="00E66051">
        <w:t xml:space="preserve">ed IVA inclusa), come specificato nell’Atto Dirigenziale della Sez. protezione </w:t>
      </w:r>
      <w:r w:rsidRPr="00825D2E">
        <w:t>Civile n. 324 del 29/07/2020. L</w:t>
      </w:r>
      <w:r w:rsidRPr="00D4499A">
        <w:t xml:space="preserve">’importo indicato, deve intendersi inclusivo di tutte le spese (quali: analisi ed archiviazione informatica dei dati raccolti, rilievi geologici, realizzazione delle prove geofisiche, </w:t>
      </w:r>
      <w:r w:rsidR="00F70F37" w:rsidRPr="00D4499A">
        <w:t>realizzazione delle perforazioni e predisposizioni dei fori per prove DH</w:t>
      </w:r>
      <w:bookmarkStart w:id="8" w:name="_Hlk93429016"/>
      <w:r w:rsidR="00F70F37" w:rsidRPr="00D4499A">
        <w:t xml:space="preserve">, </w:t>
      </w:r>
      <w:bookmarkStart w:id="9" w:name="_Hlk93426890"/>
      <w:r w:rsidR="009100C4" w:rsidRPr="00D4499A">
        <w:t xml:space="preserve">esecuzione delle prove Down-Hole, </w:t>
      </w:r>
      <w:bookmarkEnd w:id="8"/>
      <w:bookmarkEnd w:id="9"/>
      <w:r w:rsidR="00F70F37" w:rsidRPr="00D4499A">
        <w:t xml:space="preserve">realizzazione delle analisi numeriche di risposta sismica locale monodimensionale, </w:t>
      </w:r>
      <w:r w:rsidRPr="00D4499A">
        <w:t>redazione degli elaborati e delle relazioni illustrative, contributi previdenziali e qualsiasi altro onere necessario per lo svolgimento dell’incarico). Nessun altro compenso potrà essere richiesto all’ente attuatore a qualunque titolo per le prestazioni professionali di cui al presente disciplinare.</w:t>
      </w:r>
    </w:p>
    <w:p w14:paraId="30948527" w14:textId="77777777" w:rsidR="00AF06AA" w:rsidRPr="00D4499A" w:rsidRDefault="00AF06AA" w:rsidP="00AF06AA">
      <w:pPr>
        <w:spacing w:after="0"/>
        <w:jc w:val="both"/>
      </w:pPr>
    </w:p>
    <w:p w14:paraId="4CC508C7" w14:textId="77777777" w:rsidR="00AF06AA" w:rsidRPr="00D4499A" w:rsidRDefault="00AF06AA" w:rsidP="00AF06AA">
      <w:pPr>
        <w:spacing w:after="0"/>
        <w:jc w:val="both"/>
      </w:pPr>
      <w:r w:rsidRPr="00D4499A">
        <w:rPr>
          <w:b/>
        </w:rPr>
        <w:t>Articolo 7. Collaborazioni</w:t>
      </w:r>
    </w:p>
    <w:p w14:paraId="3DEE8B71" w14:textId="77777777" w:rsidR="00AF06AA" w:rsidRPr="00D4499A" w:rsidRDefault="00AF06AA" w:rsidP="00AF06AA">
      <w:pPr>
        <w:spacing w:after="0"/>
        <w:jc w:val="both"/>
      </w:pPr>
      <w:r w:rsidRPr="00D4499A">
        <w:t xml:space="preserve">Per lo svolgimento delle </w:t>
      </w:r>
      <w:r w:rsidRPr="00775332">
        <w:t xml:space="preserve">attività </w:t>
      </w:r>
      <w:r w:rsidRPr="00825D2E">
        <w:t>di Microzonazione Sismica relative</w:t>
      </w:r>
      <w:r w:rsidRPr="00D4499A">
        <w:t xml:space="preserve"> al presente disciplinare, l’affidatario dovrà collaborare con i referenti del GLSTS, così come indicato nel presente disciplinare.</w:t>
      </w:r>
    </w:p>
    <w:p w14:paraId="03683D07" w14:textId="77777777" w:rsidR="00077D57" w:rsidRPr="00CC6ACA" w:rsidRDefault="00077D57" w:rsidP="00AF06AA">
      <w:pPr>
        <w:spacing w:after="0"/>
        <w:jc w:val="both"/>
      </w:pPr>
      <w:r w:rsidRPr="00D4499A">
        <w:t xml:space="preserve">Inoltre, l’affidatario è tenuto ad includere, nello staff addetto allo svolgimento del servizio, almeno un giovane professionista con iscrizione all’albo professionale dei geologi o degli ingegneri non anteriore a 5 </w:t>
      </w:r>
      <w:r w:rsidRPr="00CC6ACA">
        <w:t>anni dall’inizio delle attività del servizio.</w:t>
      </w:r>
    </w:p>
    <w:p w14:paraId="50F9FA40" w14:textId="77777777" w:rsidR="00AF06AA" w:rsidRPr="00CC6ACA" w:rsidRDefault="00AF06AA" w:rsidP="00AF06AA">
      <w:pPr>
        <w:spacing w:after="0"/>
        <w:jc w:val="both"/>
        <w:rPr>
          <w:b/>
        </w:rPr>
      </w:pPr>
    </w:p>
    <w:p w14:paraId="210258BF" w14:textId="77777777" w:rsidR="00AF06AA" w:rsidRPr="00CC6ACA" w:rsidRDefault="00AF06AA" w:rsidP="00AF06AA">
      <w:pPr>
        <w:spacing w:after="0"/>
        <w:jc w:val="both"/>
        <w:rPr>
          <w:b/>
        </w:rPr>
      </w:pPr>
      <w:r w:rsidRPr="00CC6ACA">
        <w:rPr>
          <w:b/>
        </w:rPr>
        <w:t xml:space="preserve">Articolo 8. Tempi di esecuzione </w:t>
      </w:r>
    </w:p>
    <w:p w14:paraId="721355A6" w14:textId="77777777" w:rsidR="00AF06AA" w:rsidRPr="00825D2E" w:rsidRDefault="00AF06AA" w:rsidP="00AF06AA">
      <w:pPr>
        <w:spacing w:after="0"/>
        <w:jc w:val="both"/>
      </w:pPr>
      <w:r w:rsidRPr="00CC6ACA">
        <w:t>La realizzazione delle attività e dei prodotti da parte dell’affidatario deve avvenire in 1</w:t>
      </w:r>
      <w:r w:rsidR="00A060A8" w:rsidRPr="00CC6ACA">
        <w:t>8</w:t>
      </w:r>
      <w:r w:rsidRPr="00CC6ACA">
        <w:t xml:space="preserve">0 giorni naturali e consecutivi, a decorrere dalla data di sottoscrizione del presente disciplinare, secondo i tempi definiti nel cronoprogramma di tabella </w:t>
      </w:r>
      <w:r w:rsidR="00F70F37" w:rsidRPr="00CC6ACA">
        <w:t>2</w:t>
      </w:r>
      <w:r w:rsidRPr="00CC6ACA">
        <w:t xml:space="preserve">. Eventuali modifiche in corso d’opera del cronoprogramma che si rendessero </w:t>
      </w:r>
      <w:r w:rsidRPr="00825D2E">
        <w:t>necessarie dovranno essere concordate con il GLSTS.</w:t>
      </w:r>
    </w:p>
    <w:p w14:paraId="6AC9BF55" w14:textId="76CDC6FA" w:rsidR="00AF06AA" w:rsidRPr="00825D2E" w:rsidRDefault="00AF06AA" w:rsidP="00AF06AA">
      <w:pPr>
        <w:spacing w:after="0"/>
        <w:jc w:val="both"/>
      </w:pPr>
      <w:r w:rsidRPr="00825D2E">
        <w:t xml:space="preserve">Dopo </w:t>
      </w:r>
      <w:r w:rsidR="00A060A8" w:rsidRPr="00825D2E">
        <w:t>12</w:t>
      </w:r>
      <w:r w:rsidRPr="00825D2E">
        <w:t xml:space="preserve">0 giorni naturali e consecutivi dall’affidamento dell’incarico, l’affidatario dovrà effettuare </w:t>
      </w:r>
      <w:r w:rsidR="00825D2E" w:rsidRPr="00825D2E">
        <w:t>la</w:t>
      </w:r>
      <w:r w:rsidRPr="00825D2E">
        <w:t xml:space="preserve"> consegna di tutti gli elaborati dal punto 1 al punto </w:t>
      </w:r>
      <w:r w:rsidR="00843D1B" w:rsidRPr="00825D2E">
        <w:t>7</w:t>
      </w:r>
      <w:r w:rsidRPr="00825D2E">
        <w:t xml:space="preserve"> del</w:t>
      </w:r>
      <w:r w:rsidR="00CC6ACA" w:rsidRPr="00825D2E">
        <w:t>l</w:t>
      </w:r>
      <w:r w:rsidRPr="00825D2E">
        <w:t>’Art. 4.</w:t>
      </w:r>
    </w:p>
    <w:p w14:paraId="58BE0DCC" w14:textId="77777777" w:rsidR="0007212F" w:rsidRPr="00CC6ACA" w:rsidRDefault="0007212F" w:rsidP="00AF06AA">
      <w:pPr>
        <w:spacing w:after="0"/>
        <w:jc w:val="both"/>
      </w:pPr>
      <w:bookmarkStart w:id="10" w:name="_Hlk91759225"/>
      <w:r w:rsidRPr="00825D2E">
        <w:t xml:space="preserve">Alla scadenza dei 180 gg naturali dalla data di sottoscrizione del disciplinare è prevista la consegna dei prodotti </w:t>
      </w:r>
      <w:r w:rsidR="00CC6ACA" w:rsidRPr="00825D2E">
        <w:t xml:space="preserve">definitivi </w:t>
      </w:r>
      <w:r w:rsidRPr="00825D2E">
        <w:t>relativi ai punti 8 e 9 dell’Art. 4.</w:t>
      </w:r>
    </w:p>
    <w:bookmarkEnd w:id="10"/>
    <w:p w14:paraId="0E2436EF" w14:textId="77777777" w:rsidR="00831439" w:rsidRPr="00CC6ACA" w:rsidRDefault="00831439" w:rsidP="00AF06AA">
      <w:pPr>
        <w:autoSpaceDE w:val="0"/>
        <w:autoSpaceDN w:val="0"/>
        <w:adjustRightInd w:val="0"/>
        <w:spacing w:after="0"/>
        <w:jc w:val="both"/>
      </w:pPr>
      <w:r w:rsidRPr="00CC6ACA">
        <w:t xml:space="preserve">L’eventuale revisione </w:t>
      </w:r>
      <w:r w:rsidR="002F3DAF" w:rsidRPr="00CC6ACA">
        <w:t>degli elaborati finali</w:t>
      </w:r>
      <w:r w:rsidRPr="00CC6ACA">
        <w:t xml:space="preserve"> di cui </w:t>
      </w:r>
      <w:r w:rsidR="002F3DAF" w:rsidRPr="00CC6ACA">
        <w:t>all’art. 4</w:t>
      </w:r>
      <w:r w:rsidRPr="00CC6ACA">
        <w:t xml:space="preserve">, su richiesta della Commissione Tecnica per la Microzonazione Sismica, sarà </w:t>
      </w:r>
      <w:r w:rsidR="001F1081" w:rsidRPr="00CC6ACA">
        <w:t xml:space="preserve">esclusivamente </w:t>
      </w:r>
      <w:r w:rsidRPr="00CC6ACA">
        <w:t xml:space="preserve">a carico dei soggetti affidatari e dovrà essere consegnata entro 30 gg dalla </w:t>
      </w:r>
      <w:r w:rsidR="002D6F7F" w:rsidRPr="00CC6ACA">
        <w:t xml:space="preserve">data della </w:t>
      </w:r>
      <w:r w:rsidRPr="00CC6ACA">
        <w:t>richiesta stessa.</w:t>
      </w:r>
    </w:p>
    <w:p w14:paraId="1E5C30EA" w14:textId="77777777" w:rsidR="00AF06AA" w:rsidRPr="00CC6ACA" w:rsidRDefault="00AF06AA" w:rsidP="00AF06AA">
      <w:pPr>
        <w:autoSpaceDE w:val="0"/>
        <w:autoSpaceDN w:val="0"/>
        <w:adjustRightInd w:val="0"/>
        <w:spacing w:after="0" w:line="240" w:lineRule="auto"/>
        <w:rPr>
          <w:rFonts w:ascii="ArialNarrow,Bold" w:hAnsi="ArialNarrow,Bold" w:cs="ArialNarrow,Bold"/>
          <w:b/>
          <w:bCs/>
          <w:sz w:val="24"/>
          <w:szCs w:val="24"/>
        </w:rPr>
      </w:pPr>
    </w:p>
    <w:p w14:paraId="51CD3C6D" w14:textId="77777777" w:rsidR="00AF06AA" w:rsidRPr="00CC6ACA" w:rsidRDefault="00AF06AA" w:rsidP="00AF06AA">
      <w:pPr>
        <w:spacing w:after="0"/>
        <w:jc w:val="both"/>
        <w:rPr>
          <w:b/>
        </w:rPr>
      </w:pPr>
      <w:r w:rsidRPr="00CC6ACA">
        <w:rPr>
          <w:b/>
        </w:rPr>
        <w:t>Articolo 9. Penali</w:t>
      </w:r>
    </w:p>
    <w:p w14:paraId="4993FD03" w14:textId="003EB2D7" w:rsidR="00AF06AA" w:rsidRPr="00CC6ACA" w:rsidRDefault="00AF06AA" w:rsidP="00AF06AA">
      <w:pPr>
        <w:spacing w:after="0"/>
        <w:jc w:val="both"/>
      </w:pPr>
      <w:r w:rsidRPr="00CC6ACA">
        <w:t xml:space="preserve">Per il maggior tempo impiegato dall’affidatario nella redazione e conseguente trasmissione degli elaborati rispetto alle singole scadenze previste all’articolo 8, qualora la causa sia riconosciuta esclusivamente nell’attività dell’affidatario e non sia imputabile a forza maggiore o a caso fortuito, </w:t>
      </w:r>
      <w:r w:rsidR="00E072B5" w:rsidRPr="00775332">
        <w:t>verrà</w:t>
      </w:r>
      <w:r w:rsidRPr="00775332">
        <w:t xml:space="preserve"> applicata una </w:t>
      </w:r>
      <w:r w:rsidRPr="00775332">
        <w:lastRenderedPageBreak/>
        <w:t>penale pari a 1</w:t>
      </w:r>
      <w:r w:rsidR="00382C46">
        <w:t xml:space="preserve"> </w:t>
      </w:r>
      <w:r w:rsidR="00382C46">
        <w:rPr>
          <w:rFonts w:ascii="Arial" w:hAnsi="Arial" w:cs="Arial"/>
          <w:color w:val="202124"/>
          <w:shd w:val="clear" w:color="auto" w:fill="FFFFFF"/>
        </w:rPr>
        <w:t>‰</w:t>
      </w:r>
      <w:r w:rsidRPr="00775332">
        <w:t xml:space="preserve"> dell’importo dell’incarico per ogni giorno di ritardo, fino ad un limite massimo del 10% del corrispettivo.</w:t>
      </w:r>
    </w:p>
    <w:p w14:paraId="4D5E26A5" w14:textId="77777777" w:rsidR="00AF06AA" w:rsidRPr="00CC6ACA" w:rsidRDefault="00AF06AA" w:rsidP="00AF06AA">
      <w:pPr>
        <w:spacing w:after="0"/>
        <w:jc w:val="both"/>
      </w:pPr>
    </w:p>
    <w:p w14:paraId="2FFD5784" w14:textId="77777777" w:rsidR="00AF06AA" w:rsidRPr="00CC6ACA" w:rsidRDefault="00AF06AA" w:rsidP="00AF06AA">
      <w:pPr>
        <w:widowControl w:val="0"/>
        <w:spacing w:after="0"/>
        <w:jc w:val="both"/>
        <w:rPr>
          <w:b/>
        </w:rPr>
      </w:pPr>
      <w:r w:rsidRPr="00CC6ACA">
        <w:rPr>
          <w:b/>
        </w:rPr>
        <w:t>Articolo 10. Proprietà dei dati e degli elaborati</w:t>
      </w:r>
    </w:p>
    <w:p w14:paraId="2513390C" w14:textId="77777777" w:rsidR="00AF06AA" w:rsidRPr="00CC6ACA" w:rsidRDefault="00AF06AA" w:rsidP="00AF06AA">
      <w:pPr>
        <w:widowControl w:val="0"/>
        <w:spacing w:after="0"/>
        <w:jc w:val="both"/>
      </w:pPr>
      <w:r w:rsidRPr="00CC6ACA">
        <w:t>L’uso dei dati acquisiti dall’affidatario (o dal GLSTS e forniti all’affidatario) e degli elaborati prodotti dall’affidatario (o dal GLSTS e forniti all’affidatario) è concesso esclusivamente per le attività inerenti la realizzazione degli studi di microzonazione sismica di cui al presente disciplinare.</w:t>
      </w:r>
    </w:p>
    <w:p w14:paraId="6D804FE2" w14:textId="77777777" w:rsidR="00AF06AA" w:rsidRPr="00CC6ACA" w:rsidRDefault="00AF06AA" w:rsidP="00AF06AA">
      <w:pPr>
        <w:spacing w:after="0"/>
        <w:jc w:val="both"/>
      </w:pPr>
      <w:r w:rsidRPr="00CC6ACA">
        <w:t>Ferma restando la proprietà intellettuale delle elaborazioni tecniche dell’affidatario, l’ente attuatore e la Regione sono autorizzati all’utilizzazione piena dei dati e degli elaborati inerenti all’incarico, per fini istituzionali.</w:t>
      </w:r>
    </w:p>
    <w:p w14:paraId="6E8578BA" w14:textId="77777777" w:rsidR="00AF06AA" w:rsidRPr="00CC6ACA" w:rsidRDefault="00AF06AA" w:rsidP="00AF06AA">
      <w:pPr>
        <w:spacing w:after="0"/>
        <w:jc w:val="both"/>
      </w:pPr>
      <w:r w:rsidRPr="00CC6ACA">
        <w:t>L’affidatario, inoltre, si impegna a concedere l’utilizzo dei dati e degli elaborati per i soli fini di ricerca (compresa la realizzazione di pubblicazioni scientifiche) al GLSTS, che a sua volta coinvolgerà l’affidatario negli studi con modalità concordate e, comunque, si impegna a citare adeguatamente l’origine dei dati e degli elaborati riconducibili all’affidatario, secondo quanto concordato con l’ente attuatore e con la Regione.</w:t>
      </w:r>
    </w:p>
    <w:p w14:paraId="11755981" w14:textId="77777777" w:rsidR="00AF06AA" w:rsidRPr="00CC6ACA" w:rsidRDefault="00AF06AA" w:rsidP="00AF06AA">
      <w:pPr>
        <w:spacing w:after="0"/>
        <w:jc w:val="both"/>
      </w:pPr>
    </w:p>
    <w:p w14:paraId="5DF76CEC" w14:textId="77777777" w:rsidR="00AF06AA" w:rsidRPr="00CC6ACA" w:rsidRDefault="00AF06AA" w:rsidP="00AF06AA">
      <w:pPr>
        <w:spacing w:after="0"/>
        <w:jc w:val="both"/>
        <w:rPr>
          <w:b/>
        </w:rPr>
      </w:pPr>
      <w:r w:rsidRPr="00CC6ACA">
        <w:rPr>
          <w:b/>
        </w:rPr>
        <w:t>Articolo 11. Modalità di pagamento</w:t>
      </w:r>
    </w:p>
    <w:p w14:paraId="781A8960" w14:textId="77777777" w:rsidR="00AF06AA" w:rsidRPr="00CC6ACA" w:rsidRDefault="00AF06AA" w:rsidP="00AF06AA">
      <w:pPr>
        <w:spacing w:after="0"/>
        <w:jc w:val="both"/>
      </w:pPr>
      <w:r w:rsidRPr="00CC6ACA">
        <w:t>Il corrispettivo di €_______________________ (contributo previdenziale ed IVA inclusa) a favore dell’affidatario verrà erogato con le seguenti modalità:</w:t>
      </w:r>
    </w:p>
    <w:p w14:paraId="2D151A71" w14:textId="77777777" w:rsidR="00AF06AA" w:rsidRPr="00CC6ACA" w:rsidRDefault="00AF06AA" w:rsidP="00AF06AA">
      <w:pPr>
        <w:spacing w:after="0"/>
        <w:jc w:val="both"/>
      </w:pPr>
      <w:r w:rsidRPr="00CC6ACA">
        <w:t>- 40 % del corrispettivo entro 45 giorni dalla firma del presente disciplinare;</w:t>
      </w:r>
    </w:p>
    <w:p w14:paraId="1DA4308D" w14:textId="77777777" w:rsidR="00AF06AA" w:rsidRPr="00CC6ACA" w:rsidRDefault="00AF06AA" w:rsidP="00AF06AA">
      <w:pPr>
        <w:spacing w:after="0"/>
        <w:jc w:val="both"/>
      </w:pPr>
      <w:r w:rsidRPr="00CC6ACA">
        <w:t xml:space="preserve">- 60 % del corrispettivo entro 30 giorni dalla </w:t>
      </w:r>
      <w:r w:rsidR="007D2444" w:rsidRPr="00CC6ACA">
        <w:t>avvenuta validazione comunicata</w:t>
      </w:r>
      <w:r w:rsidRPr="00CC6ACA">
        <w:t xml:space="preserve"> d</w:t>
      </w:r>
      <w:r w:rsidR="007D2444" w:rsidRPr="00CC6ACA">
        <w:t>a</w:t>
      </w:r>
      <w:r w:rsidRPr="00CC6ACA">
        <w:t>lla Commissione Tecnica per il Supporto e il Monitoraggio degli Studi di Microzonazione Sismica, istituita presso il Dipartimento della Protezione Civile Nazionale.</w:t>
      </w:r>
    </w:p>
    <w:p w14:paraId="3EE76059" w14:textId="77777777" w:rsidR="00AF06AA" w:rsidRPr="00CC6ACA" w:rsidRDefault="00AF06AA" w:rsidP="00AF06AA">
      <w:pPr>
        <w:spacing w:after="0"/>
        <w:jc w:val="both"/>
      </w:pPr>
      <w:r w:rsidRPr="00CC6ACA">
        <w:t>Il pagamento sarà effettuato entro 60 giorni naturali e consecutivi dalla data di ricevimento di regolare fattura. Tale termine di pagamento tiene conto dei tempi necessari per l’esecuzione delle verifiche propedeutiche al pagamento.</w:t>
      </w:r>
    </w:p>
    <w:p w14:paraId="4D6808FA" w14:textId="77777777" w:rsidR="00AF06AA" w:rsidRPr="006B13C4" w:rsidRDefault="00AF06AA" w:rsidP="00AF06AA">
      <w:pPr>
        <w:spacing w:after="0"/>
        <w:jc w:val="both"/>
        <w:rPr>
          <w:color w:val="FF0000"/>
        </w:rPr>
      </w:pPr>
    </w:p>
    <w:p w14:paraId="2B2D4613" w14:textId="77777777" w:rsidR="00AF06AA" w:rsidRPr="00CC6ACA" w:rsidRDefault="00AF06AA" w:rsidP="00AF06AA">
      <w:pPr>
        <w:spacing w:after="0"/>
        <w:jc w:val="both"/>
        <w:rPr>
          <w:b/>
        </w:rPr>
      </w:pPr>
      <w:r w:rsidRPr="00CC6ACA">
        <w:rPr>
          <w:b/>
        </w:rPr>
        <w:t>Articolo 12. Riferimenti tecnici e normativi</w:t>
      </w:r>
    </w:p>
    <w:p w14:paraId="02E605EC" w14:textId="77777777" w:rsidR="00AF06AA" w:rsidRPr="00CC6ACA" w:rsidRDefault="00AF06AA" w:rsidP="00AF06AA">
      <w:pPr>
        <w:spacing w:after="0"/>
        <w:jc w:val="both"/>
      </w:pPr>
      <w:r w:rsidRPr="00CC6ACA">
        <w:t>I servizi dovranno essere svolti in conformità alle disposizioni tecniche vigenti e dei seguenti riferimenti tecnici:</w:t>
      </w:r>
    </w:p>
    <w:p w14:paraId="4D7DD8FE" w14:textId="77777777" w:rsidR="00AF06AA" w:rsidRPr="00CC6ACA" w:rsidRDefault="008E6207" w:rsidP="008E6207">
      <w:pPr>
        <w:pStyle w:val="Paragrafoelenco"/>
        <w:numPr>
          <w:ilvl w:val="0"/>
          <w:numId w:val="36"/>
        </w:numPr>
        <w:spacing w:after="0"/>
        <w:ind w:left="426" w:hanging="426"/>
        <w:jc w:val="both"/>
        <w:rPr>
          <w:lang w:val="en-GB"/>
        </w:rPr>
      </w:pPr>
      <w:r w:rsidRPr="00CC6ACA">
        <w:t xml:space="preserve">Gruppo di lavoro MS, 2008. Indirizzi e criteri per la microzonazione sismica. Conferenza delle Regioni e delle Province Autonome - Dipartimento della Protezione Civile, Roma, 3 vol. e Dvd. Disponibili nel sito web del Dipartimento della Protezione Civile, area “Rischio Sismico”. </w:t>
      </w:r>
      <w:r w:rsidRPr="00CC6ACA">
        <w:rPr>
          <w:lang w:val="en-GB"/>
        </w:rPr>
        <w:t xml:space="preserve">Link: </w:t>
      </w:r>
      <w:hyperlink r:id="rId10" w:history="1">
        <w:r w:rsidRPr="00CC6ACA">
          <w:rPr>
            <w:rStyle w:val="Collegamentoipertestuale"/>
            <w:color w:val="auto"/>
            <w:lang w:val="en-GB"/>
          </w:rPr>
          <w:t>https://www.centromicrozonazionesismica.it/it/download/category/7-indirizzi-e-criteri-per-la-microzonazione-sismica</w:t>
        </w:r>
      </w:hyperlink>
      <w:r w:rsidRPr="00CC6ACA">
        <w:rPr>
          <w:lang w:val="en-GB"/>
        </w:rPr>
        <w:t xml:space="preserve"> </w:t>
      </w:r>
    </w:p>
    <w:p w14:paraId="6FFA7332" w14:textId="77777777" w:rsidR="00AF06AA" w:rsidRPr="00CC6ACA" w:rsidRDefault="00AF06AA" w:rsidP="00AF06AA">
      <w:pPr>
        <w:pStyle w:val="Paragrafoelenco"/>
        <w:numPr>
          <w:ilvl w:val="0"/>
          <w:numId w:val="36"/>
        </w:numPr>
        <w:spacing w:after="0"/>
        <w:ind w:left="426" w:hanging="426"/>
        <w:jc w:val="both"/>
      </w:pPr>
      <w:r w:rsidRPr="00CC6ACA">
        <w:t xml:space="preserve">Contributi per l’aggiornamento degli Indirizzi e criteri per la microzonazione sismica. Ingegneria Sismica, Anno XXVIII – n.2 – 2011. Link: </w:t>
      </w:r>
      <w:hyperlink r:id="rId11" w:history="1">
        <w:r w:rsidR="00690817" w:rsidRPr="00CC6ACA">
          <w:rPr>
            <w:rStyle w:val="Collegamentoipertestuale"/>
            <w:color w:val="auto"/>
          </w:rPr>
          <w:t>https://www.centromicrozonazionesismica.it/it/download/category/17-contributi-per-l-aggiornamento-degli-indirizzi-e-criteri-per-la-microzonazione-sismica</w:t>
        </w:r>
      </w:hyperlink>
      <w:r w:rsidR="00690817" w:rsidRPr="00CC6ACA">
        <w:t xml:space="preserve"> </w:t>
      </w:r>
    </w:p>
    <w:p w14:paraId="76223DB9" w14:textId="77777777" w:rsidR="00AF06AA" w:rsidRPr="00CC6ACA" w:rsidRDefault="00AF06AA" w:rsidP="00AF06AA">
      <w:pPr>
        <w:pStyle w:val="Paragrafoelenco"/>
        <w:numPr>
          <w:ilvl w:val="0"/>
          <w:numId w:val="36"/>
        </w:numPr>
        <w:spacing w:after="0"/>
        <w:ind w:left="426" w:hanging="426"/>
        <w:jc w:val="both"/>
      </w:pPr>
      <w:r w:rsidRPr="00CC6ACA">
        <w:t xml:space="preserve">Commissione tecnica per la microzonazione sismica, 2015. Linee guida per la gestione del territorio in aree interessate da Faglie Attive e Capaci (FAC), Conferenza delle Regioni e delle Province Autonome – Dipartimento della protezione civile, Roma. Link: </w:t>
      </w:r>
      <w:hyperlink r:id="rId12" w:history="1">
        <w:r w:rsidR="00690817" w:rsidRPr="00CC6ACA">
          <w:rPr>
            <w:rStyle w:val="Collegamentoipertestuale"/>
            <w:color w:val="auto"/>
          </w:rPr>
          <w:t>https://www.centromicrozonazionesismica.it/it/download/category/10-linee-guida-per-la-gestione-del-territorio-interessato-da-faglie-attive-e-capaci</w:t>
        </w:r>
      </w:hyperlink>
      <w:r w:rsidR="00690817" w:rsidRPr="00CC6ACA">
        <w:t xml:space="preserve"> </w:t>
      </w:r>
    </w:p>
    <w:p w14:paraId="1AA6C617" w14:textId="77777777" w:rsidR="003468D4" w:rsidRPr="00CC6ACA" w:rsidRDefault="003468D4" w:rsidP="003468D4">
      <w:pPr>
        <w:pStyle w:val="Paragrafoelenco"/>
        <w:numPr>
          <w:ilvl w:val="0"/>
          <w:numId w:val="36"/>
        </w:numPr>
        <w:spacing w:after="0"/>
        <w:ind w:left="426" w:hanging="426"/>
        <w:jc w:val="both"/>
      </w:pPr>
      <w:r w:rsidRPr="00CC6ACA">
        <w:t xml:space="preserve">Commissione tecnica per la microzonazione sismica, 2015. Linee guida per la gestione del territorio in aree interessate da instabilità di versante sismoindotte (FR). Dipartimento della protezione civile, </w:t>
      </w:r>
      <w:r w:rsidRPr="00CC6ACA">
        <w:lastRenderedPageBreak/>
        <w:t xml:space="preserve">Roma. Versione 1.0. </w:t>
      </w:r>
      <w:hyperlink r:id="rId13" w:history="1">
        <w:r w:rsidR="00690817" w:rsidRPr="00CC6ACA">
          <w:rPr>
            <w:rStyle w:val="Collegamentoipertestuale"/>
            <w:color w:val="auto"/>
          </w:rPr>
          <w:t>https://www.centromicrozonazionesismica.it/it/download/category/13-linee-guida-per-la-gestione-del-territorio-in-aree-interessate-da-instabilita-di-versante-cosismiche</w:t>
        </w:r>
      </w:hyperlink>
      <w:r w:rsidR="00690817" w:rsidRPr="00CC6ACA">
        <w:t xml:space="preserve"> </w:t>
      </w:r>
    </w:p>
    <w:p w14:paraId="0B0A18C8" w14:textId="77777777" w:rsidR="00AF06AA" w:rsidRPr="00CC6ACA" w:rsidRDefault="00AF06AA" w:rsidP="00AF06AA">
      <w:pPr>
        <w:pStyle w:val="Paragrafoelenco"/>
        <w:numPr>
          <w:ilvl w:val="0"/>
          <w:numId w:val="36"/>
        </w:numPr>
        <w:spacing w:after="0"/>
        <w:ind w:left="426" w:hanging="426"/>
        <w:jc w:val="both"/>
      </w:pPr>
      <w:r w:rsidRPr="00CC6ACA">
        <w:t xml:space="preserve">Commissione tecnica per la microzonazione sismica, 2017. Linee guida per la gestione del territorio in aree interessate da Liquefazione (LQ). Dipartimento della protezione civile, Roma. Versione 1.0. </w:t>
      </w:r>
      <w:hyperlink r:id="rId14" w:history="1">
        <w:r w:rsidR="003D1640" w:rsidRPr="00CC6ACA">
          <w:rPr>
            <w:rStyle w:val="Collegamentoipertestuale"/>
            <w:color w:val="auto"/>
          </w:rPr>
          <w:t>https://www.centromicrozonazionesismica.it/it/download/category/21-linee-guida-per-la-gestione-del-territorio-in-aree-interessate-da-liquefazioni</w:t>
        </w:r>
      </w:hyperlink>
      <w:r w:rsidR="003D1640" w:rsidRPr="00CC6ACA">
        <w:t xml:space="preserve"> </w:t>
      </w:r>
    </w:p>
    <w:p w14:paraId="1D655B85" w14:textId="77777777" w:rsidR="00B75690" w:rsidRPr="00CC6ACA" w:rsidRDefault="00AF06AA" w:rsidP="00AF06AA">
      <w:pPr>
        <w:pStyle w:val="Paragrafoelenco"/>
        <w:numPr>
          <w:ilvl w:val="0"/>
          <w:numId w:val="36"/>
        </w:numPr>
        <w:spacing w:after="0"/>
        <w:ind w:left="426" w:hanging="426"/>
        <w:jc w:val="both"/>
      </w:pPr>
      <w:r w:rsidRPr="00CC6ACA">
        <w:t>Commissione tecnica per la microzonazione sismica, 20</w:t>
      </w:r>
      <w:r w:rsidR="003D1640" w:rsidRPr="00CC6ACA">
        <w:t>19</w:t>
      </w:r>
      <w:r w:rsidRPr="00CC6ACA">
        <w:t>. Linee guida per l’elaborazione della carta geologico-tecnica per la microzonazione sismica con adattamento ai contesti vulcanici. Versione 1.0. Roma, 73 pp.</w:t>
      </w:r>
    </w:p>
    <w:p w14:paraId="5474ACE5" w14:textId="77777777" w:rsidR="00AF06AA" w:rsidRPr="00CC6ACA" w:rsidRDefault="00C90290" w:rsidP="00B75690">
      <w:pPr>
        <w:pStyle w:val="Paragrafoelenco"/>
        <w:spacing w:after="0"/>
        <w:ind w:left="426"/>
        <w:jc w:val="both"/>
      </w:pPr>
      <w:hyperlink r:id="rId15" w:history="1">
        <w:r w:rsidR="003D1640" w:rsidRPr="00CC6ACA">
          <w:rPr>
            <w:rStyle w:val="Collegamentoipertestuale"/>
            <w:color w:val="auto"/>
          </w:rPr>
          <w:t>https://www.google.com/url?sa=t&amp;rct=j&amp;q=&amp;esrc=s&amp;source=web&amp;cd=&amp;ved=2ahUKEwitoKr5u83uAhUDrKQKHXBWAVgQFjAAegQIAxAC&amp;url=http%3A%2F%2Fgovernancerischio.protezionecivile.gov.it%2Fdocuments%2F20182%2F229898%2FSIC_F2.1%2BAdattamento%2Bcontesto%2Bvulcanico%2F3277cf45-bcf5-4f8d-9e7a-22e986195d8d&amp;usg=AOvVaw0L6rFGK_QIblQLO8o9_V-a</w:t>
        </w:r>
      </w:hyperlink>
      <w:r w:rsidR="003D1640" w:rsidRPr="00CC6ACA">
        <w:t xml:space="preserve"> </w:t>
      </w:r>
    </w:p>
    <w:p w14:paraId="1B19B425" w14:textId="77777777" w:rsidR="00971B6E" w:rsidRPr="00CC6ACA" w:rsidRDefault="00971B6E" w:rsidP="00971B6E">
      <w:pPr>
        <w:pStyle w:val="Paragrafoelenco"/>
        <w:numPr>
          <w:ilvl w:val="0"/>
          <w:numId w:val="36"/>
        </w:numPr>
        <w:spacing w:after="0"/>
        <w:ind w:left="426" w:hanging="426"/>
        <w:jc w:val="both"/>
      </w:pPr>
      <w:r w:rsidRPr="00CC6ACA">
        <w:t xml:space="preserve">Commissione tecnica per la microzonazione sismica, 2020. Standard di rappresentazione e archiviazione informatica. Versione 4.2. Roma, dicembre 2020, 138 pp., </w:t>
      </w:r>
      <w:hyperlink r:id="rId16" w:history="1">
        <w:r w:rsidR="00690817" w:rsidRPr="00CC6ACA">
          <w:rPr>
            <w:rStyle w:val="Collegamentoipertestuale"/>
            <w:color w:val="auto"/>
          </w:rPr>
          <w:t>https://www.centromicrozonazionesismica.it/it/download/category/38-standardms-42</w:t>
        </w:r>
      </w:hyperlink>
      <w:r w:rsidR="00690817" w:rsidRPr="00CC6ACA">
        <w:t xml:space="preserve"> </w:t>
      </w:r>
    </w:p>
    <w:p w14:paraId="4420B8F2" w14:textId="77777777" w:rsidR="003468D4" w:rsidRPr="00CC6ACA" w:rsidRDefault="003468D4" w:rsidP="003468D4">
      <w:pPr>
        <w:pStyle w:val="Paragrafoelenco"/>
        <w:numPr>
          <w:ilvl w:val="0"/>
          <w:numId w:val="36"/>
        </w:numPr>
        <w:spacing w:after="0"/>
        <w:ind w:left="426" w:hanging="426"/>
        <w:jc w:val="both"/>
      </w:pPr>
      <w:r w:rsidRPr="00CC6ACA">
        <w:t xml:space="preserve">Commissione tecnica per la microzonazione sismica, 2020. </w:t>
      </w:r>
      <w:r w:rsidR="00B75690" w:rsidRPr="00CC6ACA">
        <w:t xml:space="preserve"> </w:t>
      </w:r>
      <w:r w:rsidR="00971B6E" w:rsidRPr="00CC6ACA">
        <w:t xml:space="preserve">SoftMS – Software per l’archiviazione dei dati della Carta delle Indagini per la Microzonazione Sismica – versione 4.2, </w:t>
      </w:r>
      <w:hyperlink r:id="rId17" w:history="1">
        <w:r w:rsidR="00075F65" w:rsidRPr="00CC6ACA">
          <w:rPr>
            <w:rStyle w:val="Collegamentoipertestuale"/>
            <w:color w:val="auto"/>
          </w:rPr>
          <w:t>https://www.centromicrozonazionesismica.it/it/download/download/38-standardms-42/99-softms-setup-4-2</w:t>
        </w:r>
      </w:hyperlink>
      <w:r w:rsidR="00075F65" w:rsidRPr="00CC6ACA">
        <w:t xml:space="preserve"> </w:t>
      </w:r>
    </w:p>
    <w:p w14:paraId="3663FD06" w14:textId="77777777" w:rsidR="003468D4" w:rsidRPr="00CC6ACA" w:rsidRDefault="003468D4" w:rsidP="00AF06AA">
      <w:pPr>
        <w:spacing w:after="0"/>
      </w:pPr>
    </w:p>
    <w:p w14:paraId="34EE923E" w14:textId="0375F028" w:rsidR="00075F65" w:rsidRDefault="00AD4A16" w:rsidP="00075F65">
      <w:pPr>
        <w:spacing w:after="0"/>
        <w:jc w:val="both"/>
      </w:pPr>
      <w:r>
        <w:t xml:space="preserve">Il Responsabile del Procedimento             </w:t>
      </w:r>
      <w:r>
        <w:tab/>
      </w:r>
      <w:r>
        <w:tab/>
      </w:r>
      <w:r>
        <w:tab/>
      </w:r>
      <w:r>
        <w:tab/>
        <w:t xml:space="preserve">          Il / i Professionista/i</w:t>
      </w:r>
    </w:p>
    <w:p w14:paraId="7E22320B" w14:textId="00E6BA79" w:rsidR="00AD4A16" w:rsidRDefault="00AD4A16" w:rsidP="00075F65">
      <w:pPr>
        <w:spacing w:after="0"/>
        <w:jc w:val="both"/>
      </w:pPr>
    </w:p>
    <w:p w14:paraId="2E8C6BC8" w14:textId="03E44A5C" w:rsidR="00AD4A16" w:rsidRDefault="00AD4A16" w:rsidP="00075F65">
      <w:pPr>
        <w:spacing w:after="0"/>
        <w:jc w:val="both"/>
      </w:pPr>
      <w:r>
        <w:t xml:space="preserve">___________________________     </w:t>
      </w:r>
      <w:r>
        <w:tab/>
      </w:r>
      <w:r>
        <w:tab/>
      </w:r>
      <w:r>
        <w:tab/>
      </w:r>
      <w:r>
        <w:tab/>
        <w:t xml:space="preserve">                _________________________</w:t>
      </w:r>
    </w:p>
    <w:p w14:paraId="1C2A6DAC" w14:textId="22BE0E04" w:rsidR="00AD4A16" w:rsidRDefault="00AD4A16" w:rsidP="00075F65">
      <w:pPr>
        <w:spacing w:after="0"/>
        <w:jc w:val="both"/>
      </w:pPr>
    </w:p>
    <w:p w14:paraId="47F37B86" w14:textId="77777777" w:rsidR="00AD4A16" w:rsidRPr="006B13C4" w:rsidRDefault="00AD4A16" w:rsidP="00AD4A16">
      <w:pPr>
        <w:spacing w:after="200" w:line="276" w:lineRule="auto"/>
        <w:rPr>
          <w:rFonts w:cstheme="minorHAnsi"/>
          <w:color w:val="FF0000"/>
        </w:rPr>
      </w:pPr>
    </w:p>
    <w:p w14:paraId="3F6D1DCE" w14:textId="77777777" w:rsidR="00075F65" w:rsidRPr="00CC6ACA" w:rsidRDefault="00075F65" w:rsidP="00075F65">
      <w:pPr>
        <w:spacing w:after="0"/>
        <w:jc w:val="both"/>
        <w:sectPr w:rsidR="00075F65" w:rsidRPr="00CC6ACA" w:rsidSect="00991A71">
          <w:headerReference w:type="default" r:id="rId18"/>
          <w:footerReference w:type="default" r:id="rId19"/>
          <w:pgSz w:w="11906" w:h="16838"/>
          <w:pgMar w:top="1701" w:right="1134" w:bottom="1134" w:left="1134" w:header="709" w:footer="709" w:gutter="0"/>
          <w:cols w:space="708"/>
          <w:docGrid w:linePitch="360"/>
        </w:sectPr>
      </w:pPr>
    </w:p>
    <w:tbl>
      <w:tblPr>
        <w:tblStyle w:val="Grigliatabella1"/>
        <w:tblW w:w="15612" w:type="dxa"/>
        <w:jc w:val="center"/>
        <w:tblLook w:val="04A0" w:firstRow="1" w:lastRow="0" w:firstColumn="1" w:lastColumn="0" w:noHBand="0" w:noVBand="1"/>
      </w:tblPr>
      <w:tblGrid>
        <w:gridCol w:w="4536"/>
        <w:gridCol w:w="993"/>
        <w:gridCol w:w="992"/>
        <w:gridCol w:w="992"/>
        <w:gridCol w:w="944"/>
        <w:gridCol w:w="820"/>
        <w:gridCol w:w="954"/>
        <w:gridCol w:w="845"/>
        <w:gridCol w:w="1224"/>
        <w:gridCol w:w="828"/>
        <w:gridCol w:w="828"/>
        <w:gridCol w:w="828"/>
        <w:gridCol w:w="828"/>
      </w:tblGrid>
      <w:tr w:rsidR="00CC6ACA" w:rsidRPr="00CC6ACA" w14:paraId="7362330E" w14:textId="77777777" w:rsidTr="009B7A44">
        <w:trPr>
          <w:gridAfter w:val="2"/>
          <w:wAfter w:w="1656" w:type="dxa"/>
          <w:jc w:val="center"/>
        </w:trPr>
        <w:tc>
          <w:tcPr>
            <w:tcW w:w="13956" w:type="dxa"/>
            <w:gridSpan w:val="11"/>
            <w:tcBorders>
              <w:top w:val="nil"/>
              <w:left w:val="nil"/>
              <w:right w:val="nil"/>
            </w:tcBorders>
          </w:tcPr>
          <w:p w14:paraId="581D3409" w14:textId="77777777" w:rsidR="00075F65" w:rsidRPr="00CC6ACA" w:rsidRDefault="00075F65" w:rsidP="00EA22F9">
            <w:pPr>
              <w:spacing w:after="0"/>
              <w:jc w:val="both"/>
              <w:rPr>
                <w:b/>
                <w:sz w:val="20"/>
                <w:szCs w:val="20"/>
              </w:rPr>
            </w:pPr>
            <w:r w:rsidRPr="00CC6ACA">
              <w:rPr>
                <w:b/>
                <w:sz w:val="20"/>
                <w:szCs w:val="20"/>
              </w:rPr>
              <w:lastRenderedPageBreak/>
              <w:t>Tabella 2.</w:t>
            </w:r>
            <w:r w:rsidRPr="00CC6ACA">
              <w:rPr>
                <w:sz w:val="20"/>
                <w:szCs w:val="20"/>
              </w:rPr>
              <w:t xml:space="preserve"> Cronoprogramma delle attività previste per l’affidatario e tempi di realizzazione dei prodotti.</w:t>
            </w:r>
          </w:p>
        </w:tc>
      </w:tr>
      <w:tr w:rsidR="00CC6ACA" w:rsidRPr="00CC6ACA" w14:paraId="4D8C1DE9" w14:textId="77777777" w:rsidTr="00D8485F">
        <w:trPr>
          <w:trHeight w:val="334"/>
          <w:jc w:val="center"/>
        </w:trPr>
        <w:tc>
          <w:tcPr>
            <w:tcW w:w="4536" w:type="dxa"/>
          </w:tcPr>
          <w:p w14:paraId="194D8E9C" w14:textId="77777777" w:rsidR="00762A29" w:rsidRPr="00CC6ACA" w:rsidRDefault="00762A29" w:rsidP="00EA22F9">
            <w:pPr>
              <w:spacing w:after="0"/>
              <w:jc w:val="both"/>
              <w:rPr>
                <w:b/>
                <w:sz w:val="20"/>
                <w:szCs w:val="20"/>
              </w:rPr>
            </w:pPr>
            <w:r w:rsidRPr="00CC6ACA">
              <w:rPr>
                <w:b/>
                <w:sz w:val="20"/>
                <w:szCs w:val="20"/>
              </w:rPr>
              <w:t>Attività</w:t>
            </w:r>
          </w:p>
        </w:tc>
        <w:tc>
          <w:tcPr>
            <w:tcW w:w="993" w:type="dxa"/>
          </w:tcPr>
          <w:p w14:paraId="4F64A726" w14:textId="77777777" w:rsidR="00762A29" w:rsidRPr="00CC6ACA" w:rsidRDefault="00762A29" w:rsidP="00EA22F9">
            <w:pPr>
              <w:spacing w:after="0"/>
              <w:jc w:val="center"/>
              <w:rPr>
                <w:b/>
                <w:sz w:val="20"/>
                <w:szCs w:val="20"/>
              </w:rPr>
            </w:pPr>
            <w:r w:rsidRPr="00CC6ACA">
              <w:rPr>
                <w:b/>
                <w:sz w:val="20"/>
                <w:szCs w:val="20"/>
              </w:rPr>
              <w:t>gg. 15*</w:t>
            </w:r>
          </w:p>
        </w:tc>
        <w:tc>
          <w:tcPr>
            <w:tcW w:w="992" w:type="dxa"/>
          </w:tcPr>
          <w:p w14:paraId="636D4AA6" w14:textId="77777777" w:rsidR="00762A29" w:rsidRPr="00CC6ACA" w:rsidRDefault="00762A29" w:rsidP="00EA22F9">
            <w:pPr>
              <w:spacing w:after="0"/>
              <w:jc w:val="center"/>
              <w:rPr>
                <w:b/>
                <w:sz w:val="20"/>
                <w:szCs w:val="20"/>
              </w:rPr>
            </w:pPr>
            <w:r w:rsidRPr="00CC6ACA">
              <w:rPr>
                <w:b/>
                <w:sz w:val="20"/>
                <w:szCs w:val="20"/>
              </w:rPr>
              <w:t>30</w:t>
            </w:r>
          </w:p>
        </w:tc>
        <w:tc>
          <w:tcPr>
            <w:tcW w:w="992" w:type="dxa"/>
          </w:tcPr>
          <w:p w14:paraId="72D5A715" w14:textId="77777777" w:rsidR="00762A29" w:rsidRPr="00CC6ACA" w:rsidRDefault="00762A29" w:rsidP="00EA22F9">
            <w:pPr>
              <w:spacing w:after="0"/>
              <w:jc w:val="center"/>
              <w:rPr>
                <w:b/>
                <w:sz w:val="20"/>
                <w:szCs w:val="20"/>
              </w:rPr>
            </w:pPr>
            <w:r w:rsidRPr="00CC6ACA">
              <w:rPr>
                <w:b/>
                <w:sz w:val="20"/>
                <w:szCs w:val="20"/>
              </w:rPr>
              <w:t>45</w:t>
            </w:r>
          </w:p>
        </w:tc>
        <w:tc>
          <w:tcPr>
            <w:tcW w:w="944" w:type="dxa"/>
          </w:tcPr>
          <w:p w14:paraId="0977B63C" w14:textId="77777777" w:rsidR="00762A29" w:rsidRPr="00CC6ACA" w:rsidRDefault="00762A29" w:rsidP="00EA22F9">
            <w:pPr>
              <w:spacing w:after="0"/>
              <w:jc w:val="center"/>
              <w:rPr>
                <w:b/>
                <w:sz w:val="20"/>
                <w:szCs w:val="20"/>
              </w:rPr>
            </w:pPr>
            <w:r w:rsidRPr="00CC6ACA">
              <w:rPr>
                <w:b/>
                <w:sz w:val="20"/>
                <w:szCs w:val="20"/>
              </w:rPr>
              <w:t>60</w:t>
            </w:r>
          </w:p>
        </w:tc>
        <w:tc>
          <w:tcPr>
            <w:tcW w:w="820" w:type="dxa"/>
          </w:tcPr>
          <w:p w14:paraId="5096DAF6" w14:textId="77777777" w:rsidR="00762A29" w:rsidRPr="00CC6ACA" w:rsidRDefault="00762A29" w:rsidP="00EA22F9">
            <w:pPr>
              <w:spacing w:after="0"/>
              <w:jc w:val="center"/>
              <w:rPr>
                <w:b/>
                <w:sz w:val="20"/>
                <w:szCs w:val="20"/>
              </w:rPr>
            </w:pPr>
            <w:r w:rsidRPr="00CC6ACA">
              <w:rPr>
                <w:b/>
                <w:sz w:val="20"/>
                <w:szCs w:val="20"/>
              </w:rPr>
              <w:t>75</w:t>
            </w:r>
          </w:p>
        </w:tc>
        <w:tc>
          <w:tcPr>
            <w:tcW w:w="954" w:type="dxa"/>
          </w:tcPr>
          <w:p w14:paraId="465AEDED" w14:textId="77777777" w:rsidR="00762A29" w:rsidRPr="00CC6ACA" w:rsidRDefault="00762A29" w:rsidP="00EA22F9">
            <w:pPr>
              <w:spacing w:after="0"/>
              <w:jc w:val="center"/>
              <w:rPr>
                <w:b/>
                <w:sz w:val="20"/>
                <w:szCs w:val="20"/>
              </w:rPr>
            </w:pPr>
            <w:r w:rsidRPr="00CC6ACA">
              <w:rPr>
                <w:b/>
                <w:sz w:val="20"/>
                <w:szCs w:val="20"/>
              </w:rPr>
              <w:t>90</w:t>
            </w:r>
          </w:p>
        </w:tc>
        <w:tc>
          <w:tcPr>
            <w:tcW w:w="845" w:type="dxa"/>
          </w:tcPr>
          <w:p w14:paraId="29667FC8" w14:textId="77777777" w:rsidR="00762A29" w:rsidRPr="00CC6ACA" w:rsidRDefault="00762A29" w:rsidP="00EA22F9">
            <w:pPr>
              <w:spacing w:after="0"/>
              <w:jc w:val="center"/>
              <w:rPr>
                <w:b/>
                <w:sz w:val="20"/>
                <w:szCs w:val="20"/>
              </w:rPr>
            </w:pPr>
            <w:r w:rsidRPr="00CC6ACA">
              <w:rPr>
                <w:b/>
                <w:sz w:val="20"/>
                <w:szCs w:val="20"/>
              </w:rPr>
              <w:t>105</w:t>
            </w:r>
          </w:p>
        </w:tc>
        <w:tc>
          <w:tcPr>
            <w:tcW w:w="1224" w:type="dxa"/>
          </w:tcPr>
          <w:p w14:paraId="5C40D799" w14:textId="77777777" w:rsidR="00762A29" w:rsidRPr="00CC6ACA" w:rsidRDefault="00762A29" w:rsidP="00EA22F9">
            <w:pPr>
              <w:spacing w:after="0"/>
              <w:jc w:val="center"/>
              <w:rPr>
                <w:b/>
                <w:sz w:val="20"/>
                <w:szCs w:val="20"/>
              </w:rPr>
            </w:pPr>
            <w:r w:rsidRPr="00CC6ACA">
              <w:rPr>
                <w:b/>
                <w:sz w:val="20"/>
                <w:szCs w:val="20"/>
              </w:rPr>
              <w:t>120</w:t>
            </w:r>
          </w:p>
          <w:p w14:paraId="3E9BEE69" w14:textId="77777777" w:rsidR="00800C47" w:rsidRPr="00CC6ACA" w:rsidRDefault="00800C47" w:rsidP="00EA22F9">
            <w:pPr>
              <w:spacing w:after="0"/>
              <w:jc w:val="center"/>
              <w:rPr>
                <w:b/>
                <w:sz w:val="20"/>
                <w:szCs w:val="20"/>
              </w:rPr>
            </w:pPr>
            <w:r w:rsidRPr="00CC6ACA">
              <w:rPr>
                <w:b/>
                <w:sz w:val="20"/>
                <w:szCs w:val="20"/>
              </w:rPr>
              <w:t>Consegna intermedia</w:t>
            </w:r>
          </w:p>
        </w:tc>
        <w:tc>
          <w:tcPr>
            <w:tcW w:w="828" w:type="dxa"/>
          </w:tcPr>
          <w:p w14:paraId="7F160636" w14:textId="77777777" w:rsidR="00762A29" w:rsidRPr="00CC6ACA" w:rsidRDefault="00762A29" w:rsidP="00EA22F9">
            <w:pPr>
              <w:spacing w:after="0"/>
              <w:jc w:val="center"/>
              <w:rPr>
                <w:b/>
                <w:sz w:val="20"/>
                <w:szCs w:val="20"/>
              </w:rPr>
            </w:pPr>
            <w:r w:rsidRPr="00CC6ACA">
              <w:rPr>
                <w:b/>
                <w:sz w:val="20"/>
                <w:szCs w:val="20"/>
              </w:rPr>
              <w:t>135</w:t>
            </w:r>
          </w:p>
        </w:tc>
        <w:tc>
          <w:tcPr>
            <w:tcW w:w="828" w:type="dxa"/>
          </w:tcPr>
          <w:p w14:paraId="0AF93E2E" w14:textId="77777777" w:rsidR="00762A29" w:rsidRPr="00CC6ACA" w:rsidRDefault="00762A29" w:rsidP="00EA22F9">
            <w:pPr>
              <w:spacing w:after="0"/>
              <w:jc w:val="center"/>
              <w:rPr>
                <w:b/>
                <w:sz w:val="20"/>
                <w:szCs w:val="20"/>
              </w:rPr>
            </w:pPr>
            <w:r w:rsidRPr="00CC6ACA">
              <w:rPr>
                <w:b/>
                <w:sz w:val="20"/>
                <w:szCs w:val="20"/>
              </w:rPr>
              <w:t>150</w:t>
            </w:r>
          </w:p>
        </w:tc>
        <w:tc>
          <w:tcPr>
            <w:tcW w:w="828" w:type="dxa"/>
          </w:tcPr>
          <w:p w14:paraId="16D3283B" w14:textId="77777777" w:rsidR="00762A29" w:rsidRPr="00CC6ACA" w:rsidRDefault="00762A29" w:rsidP="00EA22F9">
            <w:pPr>
              <w:spacing w:after="0" w:line="276" w:lineRule="auto"/>
              <w:rPr>
                <w:sz w:val="20"/>
                <w:szCs w:val="20"/>
              </w:rPr>
            </w:pPr>
            <w:r w:rsidRPr="00CC6ACA">
              <w:rPr>
                <w:b/>
                <w:sz w:val="20"/>
                <w:szCs w:val="20"/>
              </w:rPr>
              <w:t>165</w:t>
            </w:r>
          </w:p>
        </w:tc>
        <w:tc>
          <w:tcPr>
            <w:tcW w:w="828" w:type="dxa"/>
          </w:tcPr>
          <w:p w14:paraId="3DBB17C8" w14:textId="77777777" w:rsidR="00762A29" w:rsidRPr="00CC6ACA" w:rsidRDefault="00762A29" w:rsidP="00EA22F9">
            <w:pPr>
              <w:spacing w:after="0" w:line="276" w:lineRule="auto"/>
              <w:rPr>
                <w:sz w:val="20"/>
                <w:szCs w:val="20"/>
              </w:rPr>
            </w:pPr>
            <w:r w:rsidRPr="00CC6ACA">
              <w:rPr>
                <w:b/>
                <w:sz w:val="20"/>
                <w:szCs w:val="20"/>
              </w:rPr>
              <w:t>180</w:t>
            </w:r>
          </w:p>
        </w:tc>
      </w:tr>
      <w:tr w:rsidR="00CC6ACA" w:rsidRPr="00CC6ACA" w14:paraId="2A55FEF9" w14:textId="77777777" w:rsidTr="00F713DB">
        <w:trPr>
          <w:jc w:val="center"/>
        </w:trPr>
        <w:tc>
          <w:tcPr>
            <w:tcW w:w="4536" w:type="dxa"/>
          </w:tcPr>
          <w:p w14:paraId="13644DB6" w14:textId="77777777" w:rsidR="00762A29" w:rsidRPr="00CC6ACA" w:rsidRDefault="00762A29" w:rsidP="00EA22F9">
            <w:pPr>
              <w:spacing w:after="0"/>
              <w:rPr>
                <w:sz w:val="20"/>
                <w:szCs w:val="20"/>
              </w:rPr>
            </w:pPr>
            <w:r w:rsidRPr="00CC6ACA">
              <w:rPr>
                <w:sz w:val="20"/>
                <w:szCs w:val="20"/>
              </w:rPr>
              <w:t>Raccolta ed elaborazione dei dati pregressi</w:t>
            </w:r>
          </w:p>
        </w:tc>
        <w:tc>
          <w:tcPr>
            <w:tcW w:w="993" w:type="dxa"/>
            <w:shd w:val="clear" w:color="auto" w:fill="D9D9D9" w:themeFill="background1" w:themeFillShade="D9"/>
          </w:tcPr>
          <w:p w14:paraId="0A05FF56" w14:textId="77777777" w:rsidR="00762A29" w:rsidRPr="00CC6ACA" w:rsidRDefault="00762A29" w:rsidP="00EA22F9">
            <w:pPr>
              <w:spacing w:after="0"/>
              <w:jc w:val="center"/>
              <w:rPr>
                <w:sz w:val="20"/>
                <w:szCs w:val="20"/>
              </w:rPr>
            </w:pPr>
          </w:p>
        </w:tc>
        <w:tc>
          <w:tcPr>
            <w:tcW w:w="992" w:type="dxa"/>
            <w:shd w:val="clear" w:color="auto" w:fill="D9D9D9" w:themeFill="background1" w:themeFillShade="D9"/>
          </w:tcPr>
          <w:p w14:paraId="23212CE8" w14:textId="77777777" w:rsidR="00762A29" w:rsidRPr="00CC6ACA" w:rsidRDefault="00762A29" w:rsidP="00EA22F9">
            <w:pPr>
              <w:spacing w:after="0"/>
              <w:jc w:val="center"/>
              <w:rPr>
                <w:sz w:val="20"/>
                <w:szCs w:val="20"/>
              </w:rPr>
            </w:pPr>
          </w:p>
        </w:tc>
        <w:tc>
          <w:tcPr>
            <w:tcW w:w="992" w:type="dxa"/>
            <w:shd w:val="clear" w:color="auto" w:fill="FFFFFF" w:themeFill="background1"/>
          </w:tcPr>
          <w:p w14:paraId="4AC48FA1" w14:textId="77777777" w:rsidR="00762A29" w:rsidRPr="00CC6ACA" w:rsidRDefault="00762A29" w:rsidP="00EA22F9">
            <w:pPr>
              <w:spacing w:after="0"/>
              <w:jc w:val="center"/>
              <w:rPr>
                <w:sz w:val="20"/>
                <w:szCs w:val="20"/>
              </w:rPr>
            </w:pPr>
          </w:p>
        </w:tc>
        <w:tc>
          <w:tcPr>
            <w:tcW w:w="944" w:type="dxa"/>
          </w:tcPr>
          <w:p w14:paraId="71C6FB09" w14:textId="77777777" w:rsidR="00762A29" w:rsidRPr="00CC6ACA" w:rsidRDefault="00762A29" w:rsidP="00EA22F9">
            <w:pPr>
              <w:spacing w:after="0"/>
              <w:jc w:val="center"/>
              <w:rPr>
                <w:sz w:val="20"/>
                <w:szCs w:val="20"/>
              </w:rPr>
            </w:pPr>
          </w:p>
        </w:tc>
        <w:tc>
          <w:tcPr>
            <w:tcW w:w="820" w:type="dxa"/>
          </w:tcPr>
          <w:p w14:paraId="79998985" w14:textId="77777777" w:rsidR="00762A29" w:rsidRPr="00CC6ACA" w:rsidRDefault="00762A29" w:rsidP="00EA22F9">
            <w:pPr>
              <w:spacing w:after="0"/>
              <w:jc w:val="center"/>
              <w:rPr>
                <w:sz w:val="20"/>
                <w:szCs w:val="20"/>
              </w:rPr>
            </w:pPr>
          </w:p>
        </w:tc>
        <w:tc>
          <w:tcPr>
            <w:tcW w:w="954" w:type="dxa"/>
          </w:tcPr>
          <w:p w14:paraId="123D99E5" w14:textId="77777777" w:rsidR="00762A29" w:rsidRPr="00CC6ACA" w:rsidRDefault="00762A29" w:rsidP="00EA22F9">
            <w:pPr>
              <w:spacing w:after="0"/>
              <w:jc w:val="center"/>
              <w:rPr>
                <w:sz w:val="20"/>
                <w:szCs w:val="20"/>
              </w:rPr>
            </w:pPr>
          </w:p>
        </w:tc>
        <w:tc>
          <w:tcPr>
            <w:tcW w:w="845" w:type="dxa"/>
          </w:tcPr>
          <w:p w14:paraId="6045B34A" w14:textId="77777777" w:rsidR="00762A29" w:rsidRPr="00CC6ACA" w:rsidRDefault="00762A29" w:rsidP="00EA22F9">
            <w:pPr>
              <w:spacing w:after="0"/>
              <w:jc w:val="center"/>
              <w:rPr>
                <w:sz w:val="20"/>
                <w:szCs w:val="20"/>
              </w:rPr>
            </w:pPr>
          </w:p>
        </w:tc>
        <w:tc>
          <w:tcPr>
            <w:tcW w:w="1224" w:type="dxa"/>
          </w:tcPr>
          <w:p w14:paraId="6CFC1A90" w14:textId="77777777" w:rsidR="00762A29" w:rsidRPr="00CC6ACA" w:rsidRDefault="00762A29" w:rsidP="00EA22F9">
            <w:pPr>
              <w:spacing w:after="0"/>
              <w:jc w:val="center"/>
              <w:rPr>
                <w:sz w:val="20"/>
                <w:szCs w:val="20"/>
              </w:rPr>
            </w:pPr>
          </w:p>
        </w:tc>
        <w:tc>
          <w:tcPr>
            <w:tcW w:w="828" w:type="dxa"/>
          </w:tcPr>
          <w:p w14:paraId="1E93E9BF" w14:textId="77777777" w:rsidR="00762A29" w:rsidRPr="00CC6ACA" w:rsidRDefault="00762A29" w:rsidP="00EA22F9">
            <w:pPr>
              <w:spacing w:after="0"/>
              <w:jc w:val="center"/>
              <w:rPr>
                <w:sz w:val="20"/>
                <w:szCs w:val="20"/>
              </w:rPr>
            </w:pPr>
          </w:p>
        </w:tc>
        <w:tc>
          <w:tcPr>
            <w:tcW w:w="828" w:type="dxa"/>
          </w:tcPr>
          <w:p w14:paraId="2B7AF95D" w14:textId="77777777" w:rsidR="00762A29" w:rsidRPr="00CC6ACA" w:rsidRDefault="00762A29" w:rsidP="00EA22F9">
            <w:pPr>
              <w:spacing w:after="0"/>
              <w:jc w:val="center"/>
              <w:rPr>
                <w:sz w:val="20"/>
                <w:szCs w:val="20"/>
              </w:rPr>
            </w:pPr>
          </w:p>
        </w:tc>
        <w:tc>
          <w:tcPr>
            <w:tcW w:w="828" w:type="dxa"/>
          </w:tcPr>
          <w:p w14:paraId="27BD285F" w14:textId="77777777" w:rsidR="00762A29" w:rsidRPr="00CC6ACA" w:rsidRDefault="00762A29" w:rsidP="00EA22F9">
            <w:pPr>
              <w:spacing w:after="0" w:line="276" w:lineRule="auto"/>
              <w:rPr>
                <w:sz w:val="20"/>
                <w:szCs w:val="20"/>
              </w:rPr>
            </w:pPr>
          </w:p>
        </w:tc>
        <w:tc>
          <w:tcPr>
            <w:tcW w:w="828" w:type="dxa"/>
          </w:tcPr>
          <w:p w14:paraId="1EC29835" w14:textId="77777777" w:rsidR="00762A29" w:rsidRPr="00CC6ACA" w:rsidRDefault="00762A29" w:rsidP="00EA22F9">
            <w:pPr>
              <w:spacing w:after="0" w:line="276" w:lineRule="auto"/>
              <w:rPr>
                <w:sz w:val="20"/>
                <w:szCs w:val="20"/>
              </w:rPr>
            </w:pPr>
          </w:p>
        </w:tc>
      </w:tr>
      <w:tr w:rsidR="00CC6ACA" w:rsidRPr="00CC6ACA" w14:paraId="7AF69B23" w14:textId="77777777" w:rsidTr="006D43DF">
        <w:trPr>
          <w:jc w:val="center"/>
        </w:trPr>
        <w:tc>
          <w:tcPr>
            <w:tcW w:w="4536" w:type="dxa"/>
          </w:tcPr>
          <w:p w14:paraId="40236881" w14:textId="77777777" w:rsidR="00F713DB" w:rsidRPr="00CC6ACA" w:rsidRDefault="00F713DB" w:rsidP="006D43DF">
            <w:pPr>
              <w:spacing w:after="0"/>
              <w:rPr>
                <w:sz w:val="20"/>
                <w:szCs w:val="20"/>
              </w:rPr>
            </w:pPr>
            <w:r w:rsidRPr="00CC6ACA">
              <w:rPr>
                <w:sz w:val="20"/>
                <w:szCs w:val="20"/>
              </w:rPr>
              <w:t xml:space="preserve">Revisione della Carta Geologico-Geomorfologica di base (CGG) </w:t>
            </w:r>
          </w:p>
        </w:tc>
        <w:tc>
          <w:tcPr>
            <w:tcW w:w="993" w:type="dxa"/>
          </w:tcPr>
          <w:p w14:paraId="296CF2BC" w14:textId="77777777" w:rsidR="00F713DB" w:rsidRPr="00CC6ACA" w:rsidRDefault="00F713DB" w:rsidP="006D43DF">
            <w:pPr>
              <w:spacing w:after="0"/>
              <w:jc w:val="center"/>
              <w:rPr>
                <w:sz w:val="20"/>
                <w:szCs w:val="20"/>
              </w:rPr>
            </w:pPr>
          </w:p>
        </w:tc>
        <w:tc>
          <w:tcPr>
            <w:tcW w:w="992" w:type="dxa"/>
            <w:shd w:val="clear" w:color="auto" w:fill="D9D9D9" w:themeFill="background1" w:themeFillShade="D9"/>
          </w:tcPr>
          <w:p w14:paraId="53A8CFEA" w14:textId="77777777" w:rsidR="00F713DB" w:rsidRPr="00CC6ACA" w:rsidRDefault="00F713DB" w:rsidP="006D43DF">
            <w:pPr>
              <w:spacing w:after="0"/>
              <w:jc w:val="center"/>
              <w:rPr>
                <w:sz w:val="20"/>
                <w:szCs w:val="20"/>
              </w:rPr>
            </w:pPr>
          </w:p>
        </w:tc>
        <w:tc>
          <w:tcPr>
            <w:tcW w:w="992" w:type="dxa"/>
            <w:shd w:val="clear" w:color="auto" w:fill="D9D9D9" w:themeFill="background1" w:themeFillShade="D9"/>
          </w:tcPr>
          <w:p w14:paraId="0E3D3800" w14:textId="77777777" w:rsidR="00F713DB" w:rsidRPr="00CC6ACA" w:rsidRDefault="00F713DB" w:rsidP="006D43DF">
            <w:pPr>
              <w:spacing w:after="0"/>
              <w:jc w:val="center"/>
              <w:rPr>
                <w:sz w:val="20"/>
                <w:szCs w:val="20"/>
              </w:rPr>
            </w:pPr>
          </w:p>
        </w:tc>
        <w:tc>
          <w:tcPr>
            <w:tcW w:w="944" w:type="dxa"/>
            <w:shd w:val="clear" w:color="auto" w:fill="auto"/>
          </w:tcPr>
          <w:p w14:paraId="5D9A125E" w14:textId="77777777" w:rsidR="00F713DB" w:rsidRPr="00CC6ACA" w:rsidRDefault="00F713DB" w:rsidP="006D43DF">
            <w:pPr>
              <w:spacing w:after="0"/>
              <w:jc w:val="center"/>
              <w:rPr>
                <w:sz w:val="20"/>
                <w:szCs w:val="20"/>
              </w:rPr>
            </w:pPr>
          </w:p>
        </w:tc>
        <w:tc>
          <w:tcPr>
            <w:tcW w:w="820" w:type="dxa"/>
            <w:shd w:val="clear" w:color="auto" w:fill="auto"/>
          </w:tcPr>
          <w:p w14:paraId="7ABF8D17" w14:textId="77777777" w:rsidR="00F713DB" w:rsidRPr="00CC6ACA" w:rsidRDefault="00F713DB" w:rsidP="006D43DF">
            <w:pPr>
              <w:spacing w:after="0"/>
              <w:jc w:val="center"/>
              <w:rPr>
                <w:sz w:val="20"/>
                <w:szCs w:val="20"/>
              </w:rPr>
            </w:pPr>
          </w:p>
        </w:tc>
        <w:tc>
          <w:tcPr>
            <w:tcW w:w="954" w:type="dxa"/>
            <w:shd w:val="clear" w:color="auto" w:fill="FFFFFF" w:themeFill="background1"/>
          </w:tcPr>
          <w:p w14:paraId="2194AF9B" w14:textId="77777777" w:rsidR="00F713DB" w:rsidRPr="00CC6ACA" w:rsidRDefault="00F713DB" w:rsidP="006D43DF">
            <w:pPr>
              <w:spacing w:after="0"/>
              <w:jc w:val="center"/>
              <w:rPr>
                <w:sz w:val="20"/>
                <w:szCs w:val="20"/>
              </w:rPr>
            </w:pPr>
          </w:p>
        </w:tc>
        <w:tc>
          <w:tcPr>
            <w:tcW w:w="845" w:type="dxa"/>
            <w:shd w:val="clear" w:color="auto" w:fill="auto"/>
          </w:tcPr>
          <w:p w14:paraId="602197B6" w14:textId="77777777" w:rsidR="00F713DB" w:rsidRPr="00CC6ACA" w:rsidRDefault="00F713DB" w:rsidP="006D43DF">
            <w:pPr>
              <w:spacing w:after="0"/>
              <w:jc w:val="center"/>
              <w:rPr>
                <w:sz w:val="20"/>
                <w:szCs w:val="20"/>
              </w:rPr>
            </w:pPr>
          </w:p>
        </w:tc>
        <w:tc>
          <w:tcPr>
            <w:tcW w:w="1224" w:type="dxa"/>
            <w:shd w:val="clear" w:color="auto" w:fill="auto"/>
          </w:tcPr>
          <w:p w14:paraId="03C6091F" w14:textId="77777777" w:rsidR="00F713DB" w:rsidRPr="00CC6ACA" w:rsidRDefault="00F713DB" w:rsidP="006D43DF">
            <w:pPr>
              <w:spacing w:after="0"/>
              <w:jc w:val="center"/>
              <w:rPr>
                <w:sz w:val="20"/>
                <w:szCs w:val="20"/>
              </w:rPr>
            </w:pPr>
          </w:p>
        </w:tc>
        <w:tc>
          <w:tcPr>
            <w:tcW w:w="828" w:type="dxa"/>
            <w:shd w:val="clear" w:color="auto" w:fill="auto"/>
          </w:tcPr>
          <w:p w14:paraId="5F58A23B" w14:textId="77777777" w:rsidR="00F713DB" w:rsidRPr="00CC6ACA" w:rsidRDefault="00F713DB" w:rsidP="006D43DF">
            <w:pPr>
              <w:spacing w:after="0"/>
              <w:jc w:val="center"/>
              <w:rPr>
                <w:sz w:val="20"/>
                <w:szCs w:val="20"/>
              </w:rPr>
            </w:pPr>
          </w:p>
        </w:tc>
        <w:tc>
          <w:tcPr>
            <w:tcW w:w="828" w:type="dxa"/>
            <w:shd w:val="clear" w:color="auto" w:fill="auto"/>
          </w:tcPr>
          <w:p w14:paraId="6654A592" w14:textId="77777777" w:rsidR="00F713DB" w:rsidRPr="00CC6ACA" w:rsidRDefault="00F713DB" w:rsidP="006D43DF">
            <w:pPr>
              <w:spacing w:after="0"/>
              <w:jc w:val="center"/>
              <w:rPr>
                <w:sz w:val="20"/>
                <w:szCs w:val="20"/>
              </w:rPr>
            </w:pPr>
          </w:p>
        </w:tc>
        <w:tc>
          <w:tcPr>
            <w:tcW w:w="828" w:type="dxa"/>
          </w:tcPr>
          <w:p w14:paraId="5860C0B5" w14:textId="77777777" w:rsidR="00F713DB" w:rsidRPr="00CC6ACA" w:rsidRDefault="00F713DB" w:rsidP="006D43DF">
            <w:pPr>
              <w:spacing w:after="0" w:line="276" w:lineRule="auto"/>
              <w:rPr>
                <w:sz w:val="20"/>
                <w:szCs w:val="20"/>
              </w:rPr>
            </w:pPr>
          </w:p>
        </w:tc>
        <w:tc>
          <w:tcPr>
            <w:tcW w:w="828" w:type="dxa"/>
          </w:tcPr>
          <w:p w14:paraId="12CDC476" w14:textId="77777777" w:rsidR="00F713DB" w:rsidRPr="00CC6ACA" w:rsidRDefault="00F713DB" w:rsidP="006D43DF">
            <w:pPr>
              <w:spacing w:after="0" w:line="276" w:lineRule="auto"/>
              <w:rPr>
                <w:sz w:val="20"/>
                <w:szCs w:val="20"/>
              </w:rPr>
            </w:pPr>
          </w:p>
        </w:tc>
      </w:tr>
      <w:tr w:rsidR="00CC6ACA" w:rsidRPr="00CC6ACA" w14:paraId="1A92C1F4" w14:textId="77777777" w:rsidTr="00FE2A62">
        <w:trPr>
          <w:jc w:val="center"/>
        </w:trPr>
        <w:tc>
          <w:tcPr>
            <w:tcW w:w="4536" w:type="dxa"/>
          </w:tcPr>
          <w:p w14:paraId="61AA775D" w14:textId="77777777" w:rsidR="00F713DB" w:rsidRPr="00CC6ACA" w:rsidRDefault="00F713DB" w:rsidP="006D43DF">
            <w:pPr>
              <w:spacing w:after="0"/>
              <w:rPr>
                <w:sz w:val="20"/>
                <w:szCs w:val="20"/>
              </w:rPr>
            </w:pPr>
            <w:r w:rsidRPr="00CC6ACA">
              <w:rPr>
                <w:sz w:val="20"/>
                <w:szCs w:val="20"/>
              </w:rPr>
              <w:t>Archiviazione dei dati e dei metadati</w:t>
            </w:r>
          </w:p>
        </w:tc>
        <w:tc>
          <w:tcPr>
            <w:tcW w:w="993" w:type="dxa"/>
          </w:tcPr>
          <w:p w14:paraId="63B2091E" w14:textId="77777777" w:rsidR="00F713DB" w:rsidRPr="00CC6ACA" w:rsidRDefault="00F713DB" w:rsidP="006D43DF">
            <w:pPr>
              <w:spacing w:after="0"/>
              <w:jc w:val="center"/>
              <w:rPr>
                <w:sz w:val="20"/>
                <w:szCs w:val="20"/>
              </w:rPr>
            </w:pPr>
          </w:p>
        </w:tc>
        <w:tc>
          <w:tcPr>
            <w:tcW w:w="992" w:type="dxa"/>
            <w:shd w:val="clear" w:color="auto" w:fill="D9D9D9" w:themeFill="background1" w:themeFillShade="D9"/>
          </w:tcPr>
          <w:p w14:paraId="4014B80A" w14:textId="77777777" w:rsidR="00F713DB" w:rsidRPr="00CC6ACA" w:rsidRDefault="00F713DB" w:rsidP="006D43DF">
            <w:pPr>
              <w:spacing w:after="0"/>
              <w:jc w:val="center"/>
              <w:rPr>
                <w:sz w:val="20"/>
                <w:szCs w:val="20"/>
              </w:rPr>
            </w:pPr>
          </w:p>
        </w:tc>
        <w:tc>
          <w:tcPr>
            <w:tcW w:w="992" w:type="dxa"/>
            <w:shd w:val="clear" w:color="auto" w:fill="D9D9D9" w:themeFill="background1" w:themeFillShade="D9"/>
          </w:tcPr>
          <w:p w14:paraId="75E51FF0" w14:textId="77777777" w:rsidR="00F713DB" w:rsidRPr="00CC6ACA" w:rsidRDefault="00F713DB" w:rsidP="006D43DF">
            <w:pPr>
              <w:spacing w:after="0"/>
              <w:jc w:val="center"/>
              <w:rPr>
                <w:sz w:val="20"/>
                <w:szCs w:val="20"/>
              </w:rPr>
            </w:pPr>
          </w:p>
        </w:tc>
        <w:tc>
          <w:tcPr>
            <w:tcW w:w="944" w:type="dxa"/>
            <w:shd w:val="clear" w:color="auto" w:fill="D9D9D9" w:themeFill="background1" w:themeFillShade="D9"/>
          </w:tcPr>
          <w:p w14:paraId="72071EE3" w14:textId="77777777" w:rsidR="00F713DB" w:rsidRPr="00CC6ACA" w:rsidRDefault="00F713DB" w:rsidP="006D43DF">
            <w:pPr>
              <w:spacing w:after="0"/>
              <w:jc w:val="center"/>
              <w:rPr>
                <w:sz w:val="20"/>
                <w:szCs w:val="20"/>
              </w:rPr>
            </w:pPr>
          </w:p>
        </w:tc>
        <w:tc>
          <w:tcPr>
            <w:tcW w:w="820" w:type="dxa"/>
            <w:shd w:val="clear" w:color="auto" w:fill="D9D9D9" w:themeFill="background1" w:themeFillShade="D9"/>
          </w:tcPr>
          <w:p w14:paraId="1638EF77" w14:textId="77777777" w:rsidR="00F713DB" w:rsidRPr="00CC6ACA" w:rsidRDefault="00F713DB" w:rsidP="006D43DF">
            <w:pPr>
              <w:spacing w:after="0"/>
              <w:jc w:val="center"/>
              <w:rPr>
                <w:sz w:val="20"/>
                <w:szCs w:val="20"/>
              </w:rPr>
            </w:pPr>
          </w:p>
        </w:tc>
        <w:tc>
          <w:tcPr>
            <w:tcW w:w="954" w:type="dxa"/>
            <w:shd w:val="clear" w:color="auto" w:fill="D9D9D9" w:themeFill="background1" w:themeFillShade="D9"/>
          </w:tcPr>
          <w:p w14:paraId="21476B98" w14:textId="77777777" w:rsidR="00F713DB" w:rsidRPr="00CC6ACA" w:rsidRDefault="00F713DB" w:rsidP="006D43DF">
            <w:pPr>
              <w:spacing w:after="0"/>
              <w:jc w:val="center"/>
              <w:rPr>
                <w:sz w:val="20"/>
                <w:szCs w:val="20"/>
              </w:rPr>
            </w:pPr>
          </w:p>
        </w:tc>
        <w:tc>
          <w:tcPr>
            <w:tcW w:w="845" w:type="dxa"/>
            <w:shd w:val="clear" w:color="auto" w:fill="D9D9D9" w:themeFill="background1" w:themeFillShade="D9"/>
          </w:tcPr>
          <w:p w14:paraId="4BF76502" w14:textId="77777777" w:rsidR="00F713DB" w:rsidRPr="00CC6ACA" w:rsidRDefault="00F713DB" w:rsidP="006D43DF">
            <w:pPr>
              <w:spacing w:after="0"/>
              <w:jc w:val="center"/>
              <w:rPr>
                <w:sz w:val="20"/>
                <w:szCs w:val="20"/>
              </w:rPr>
            </w:pPr>
          </w:p>
        </w:tc>
        <w:tc>
          <w:tcPr>
            <w:tcW w:w="1224" w:type="dxa"/>
            <w:shd w:val="clear" w:color="auto" w:fill="D9D9D9" w:themeFill="background1" w:themeFillShade="D9"/>
          </w:tcPr>
          <w:p w14:paraId="6CEADFCE" w14:textId="77777777" w:rsidR="00F713DB" w:rsidRPr="00CC6ACA" w:rsidRDefault="00F713DB" w:rsidP="006D43DF">
            <w:pPr>
              <w:spacing w:after="0"/>
              <w:jc w:val="center"/>
              <w:rPr>
                <w:sz w:val="20"/>
                <w:szCs w:val="20"/>
              </w:rPr>
            </w:pPr>
          </w:p>
        </w:tc>
        <w:tc>
          <w:tcPr>
            <w:tcW w:w="828" w:type="dxa"/>
            <w:shd w:val="clear" w:color="auto" w:fill="D9D9D9" w:themeFill="background1" w:themeFillShade="D9"/>
          </w:tcPr>
          <w:p w14:paraId="0998D920" w14:textId="77777777" w:rsidR="00F713DB" w:rsidRPr="00CC6ACA" w:rsidRDefault="00F713DB" w:rsidP="006D43DF">
            <w:pPr>
              <w:spacing w:after="0"/>
              <w:jc w:val="center"/>
              <w:rPr>
                <w:sz w:val="20"/>
                <w:szCs w:val="20"/>
              </w:rPr>
            </w:pPr>
          </w:p>
        </w:tc>
        <w:tc>
          <w:tcPr>
            <w:tcW w:w="828" w:type="dxa"/>
            <w:shd w:val="clear" w:color="auto" w:fill="D9D9D9" w:themeFill="background1" w:themeFillShade="D9"/>
          </w:tcPr>
          <w:p w14:paraId="47CE5AB2" w14:textId="77777777" w:rsidR="00F713DB" w:rsidRPr="00CC6ACA" w:rsidRDefault="00F713DB" w:rsidP="006D43DF">
            <w:pPr>
              <w:spacing w:after="0"/>
              <w:jc w:val="center"/>
              <w:rPr>
                <w:sz w:val="20"/>
                <w:szCs w:val="20"/>
              </w:rPr>
            </w:pPr>
          </w:p>
        </w:tc>
        <w:tc>
          <w:tcPr>
            <w:tcW w:w="828" w:type="dxa"/>
            <w:shd w:val="clear" w:color="auto" w:fill="D9D9D9" w:themeFill="background1" w:themeFillShade="D9"/>
          </w:tcPr>
          <w:p w14:paraId="527A2FBC" w14:textId="77777777" w:rsidR="00F713DB" w:rsidRPr="00CC6ACA" w:rsidRDefault="00F713DB" w:rsidP="006D43DF">
            <w:pPr>
              <w:spacing w:after="0" w:line="276" w:lineRule="auto"/>
              <w:rPr>
                <w:sz w:val="20"/>
                <w:szCs w:val="20"/>
              </w:rPr>
            </w:pPr>
          </w:p>
        </w:tc>
        <w:tc>
          <w:tcPr>
            <w:tcW w:w="828" w:type="dxa"/>
          </w:tcPr>
          <w:p w14:paraId="34862DAB" w14:textId="77777777" w:rsidR="00F713DB" w:rsidRPr="00CC6ACA" w:rsidRDefault="00F713DB" w:rsidP="006D43DF">
            <w:pPr>
              <w:spacing w:after="0" w:line="276" w:lineRule="auto"/>
              <w:rPr>
                <w:sz w:val="20"/>
                <w:szCs w:val="20"/>
              </w:rPr>
            </w:pPr>
          </w:p>
        </w:tc>
      </w:tr>
      <w:tr w:rsidR="00CC6ACA" w:rsidRPr="00CC6ACA" w14:paraId="2DCAB777" w14:textId="77777777" w:rsidTr="00F713DB">
        <w:trPr>
          <w:jc w:val="center"/>
        </w:trPr>
        <w:tc>
          <w:tcPr>
            <w:tcW w:w="4536" w:type="dxa"/>
          </w:tcPr>
          <w:p w14:paraId="0B277666" w14:textId="77777777" w:rsidR="00762A29" w:rsidRPr="00CC6ACA" w:rsidRDefault="00762A29" w:rsidP="00EA22F9">
            <w:pPr>
              <w:spacing w:after="0"/>
              <w:rPr>
                <w:sz w:val="20"/>
                <w:szCs w:val="20"/>
              </w:rPr>
            </w:pPr>
            <w:r w:rsidRPr="00CC6ACA">
              <w:rPr>
                <w:sz w:val="20"/>
                <w:szCs w:val="20"/>
              </w:rPr>
              <w:t>Definizione del piano di indagini integrative</w:t>
            </w:r>
          </w:p>
        </w:tc>
        <w:tc>
          <w:tcPr>
            <w:tcW w:w="993" w:type="dxa"/>
          </w:tcPr>
          <w:p w14:paraId="03F5E8D9" w14:textId="77777777" w:rsidR="00762A29" w:rsidRPr="00CC6ACA" w:rsidRDefault="00762A29" w:rsidP="00EA22F9">
            <w:pPr>
              <w:spacing w:after="0"/>
              <w:jc w:val="center"/>
              <w:rPr>
                <w:sz w:val="20"/>
                <w:szCs w:val="20"/>
              </w:rPr>
            </w:pPr>
          </w:p>
        </w:tc>
        <w:tc>
          <w:tcPr>
            <w:tcW w:w="992" w:type="dxa"/>
            <w:shd w:val="clear" w:color="auto" w:fill="FFFFFF" w:themeFill="background1"/>
          </w:tcPr>
          <w:p w14:paraId="0BF26C61" w14:textId="77777777" w:rsidR="00762A29" w:rsidRPr="00CC6ACA" w:rsidRDefault="00762A29" w:rsidP="00EA22F9">
            <w:pPr>
              <w:spacing w:after="0"/>
              <w:jc w:val="center"/>
              <w:rPr>
                <w:sz w:val="20"/>
                <w:szCs w:val="20"/>
              </w:rPr>
            </w:pPr>
          </w:p>
        </w:tc>
        <w:tc>
          <w:tcPr>
            <w:tcW w:w="992" w:type="dxa"/>
            <w:shd w:val="clear" w:color="auto" w:fill="D9D9D9" w:themeFill="background1" w:themeFillShade="D9"/>
          </w:tcPr>
          <w:p w14:paraId="6E348AC5" w14:textId="77777777" w:rsidR="00762A29" w:rsidRPr="00CC6ACA" w:rsidRDefault="00762A29" w:rsidP="00EA22F9">
            <w:pPr>
              <w:spacing w:after="0"/>
              <w:jc w:val="center"/>
              <w:rPr>
                <w:sz w:val="20"/>
                <w:szCs w:val="20"/>
                <w:highlight w:val="lightGray"/>
              </w:rPr>
            </w:pPr>
          </w:p>
        </w:tc>
        <w:tc>
          <w:tcPr>
            <w:tcW w:w="944" w:type="dxa"/>
            <w:shd w:val="clear" w:color="auto" w:fill="D9D9D9" w:themeFill="background1" w:themeFillShade="D9"/>
          </w:tcPr>
          <w:p w14:paraId="70BC96FB" w14:textId="77777777" w:rsidR="00762A29" w:rsidRPr="00CC6ACA" w:rsidRDefault="00762A29" w:rsidP="00EA22F9">
            <w:pPr>
              <w:spacing w:after="0"/>
              <w:jc w:val="center"/>
              <w:rPr>
                <w:sz w:val="20"/>
                <w:szCs w:val="20"/>
              </w:rPr>
            </w:pPr>
          </w:p>
        </w:tc>
        <w:tc>
          <w:tcPr>
            <w:tcW w:w="820" w:type="dxa"/>
          </w:tcPr>
          <w:p w14:paraId="0DF91F49" w14:textId="77777777" w:rsidR="00762A29" w:rsidRPr="00CC6ACA" w:rsidRDefault="00762A29" w:rsidP="00EA22F9">
            <w:pPr>
              <w:spacing w:after="0"/>
              <w:jc w:val="center"/>
              <w:rPr>
                <w:sz w:val="20"/>
                <w:szCs w:val="20"/>
              </w:rPr>
            </w:pPr>
          </w:p>
        </w:tc>
        <w:tc>
          <w:tcPr>
            <w:tcW w:w="954" w:type="dxa"/>
          </w:tcPr>
          <w:p w14:paraId="2931EFFD" w14:textId="77777777" w:rsidR="00762A29" w:rsidRPr="00CC6ACA" w:rsidRDefault="00762A29" w:rsidP="00EA22F9">
            <w:pPr>
              <w:spacing w:after="0"/>
              <w:jc w:val="center"/>
              <w:rPr>
                <w:sz w:val="20"/>
                <w:szCs w:val="20"/>
              </w:rPr>
            </w:pPr>
          </w:p>
        </w:tc>
        <w:tc>
          <w:tcPr>
            <w:tcW w:w="845" w:type="dxa"/>
          </w:tcPr>
          <w:p w14:paraId="7BD086C9" w14:textId="77777777" w:rsidR="00762A29" w:rsidRPr="00CC6ACA" w:rsidRDefault="00762A29" w:rsidP="00EA22F9">
            <w:pPr>
              <w:spacing w:after="0"/>
              <w:jc w:val="center"/>
              <w:rPr>
                <w:sz w:val="20"/>
                <w:szCs w:val="20"/>
              </w:rPr>
            </w:pPr>
          </w:p>
        </w:tc>
        <w:tc>
          <w:tcPr>
            <w:tcW w:w="1224" w:type="dxa"/>
          </w:tcPr>
          <w:p w14:paraId="09CFD0F9" w14:textId="77777777" w:rsidR="00762A29" w:rsidRPr="00CC6ACA" w:rsidRDefault="00762A29" w:rsidP="00EA22F9">
            <w:pPr>
              <w:spacing w:after="0"/>
              <w:jc w:val="center"/>
              <w:rPr>
                <w:sz w:val="20"/>
                <w:szCs w:val="20"/>
              </w:rPr>
            </w:pPr>
          </w:p>
        </w:tc>
        <w:tc>
          <w:tcPr>
            <w:tcW w:w="828" w:type="dxa"/>
          </w:tcPr>
          <w:p w14:paraId="04908EFE" w14:textId="77777777" w:rsidR="00762A29" w:rsidRPr="00CC6ACA" w:rsidRDefault="00762A29" w:rsidP="00EA22F9">
            <w:pPr>
              <w:spacing w:after="0"/>
              <w:jc w:val="center"/>
              <w:rPr>
                <w:sz w:val="20"/>
                <w:szCs w:val="20"/>
              </w:rPr>
            </w:pPr>
          </w:p>
        </w:tc>
        <w:tc>
          <w:tcPr>
            <w:tcW w:w="828" w:type="dxa"/>
          </w:tcPr>
          <w:p w14:paraId="38CA5208" w14:textId="77777777" w:rsidR="00762A29" w:rsidRPr="00CC6ACA" w:rsidRDefault="00762A29" w:rsidP="00EA22F9">
            <w:pPr>
              <w:spacing w:after="0"/>
              <w:jc w:val="center"/>
              <w:rPr>
                <w:sz w:val="20"/>
                <w:szCs w:val="20"/>
              </w:rPr>
            </w:pPr>
          </w:p>
        </w:tc>
        <w:tc>
          <w:tcPr>
            <w:tcW w:w="828" w:type="dxa"/>
          </w:tcPr>
          <w:p w14:paraId="44B9D9BE" w14:textId="77777777" w:rsidR="00762A29" w:rsidRPr="00CC6ACA" w:rsidRDefault="00762A29" w:rsidP="00EA22F9">
            <w:pPr>
              <w:spacing w:after="0" w:line="276" w:lineRule="auto"/>
              <w:rPr>
                <w:sz w:val="20"/>
                <w:szCs w:val="20"/>
              </w:rPr>
            </w:pPr>
          </w:p>
        </w:tc>
        <w:tc>
          <w:tcPr>
            <w:tcW w:w="828" w:type="dxa"/>
          </w:tcPr>
          <w:p w14:paraId="28E329E3" w14:textId="77777777" w:rsidR="00762A29" w:rsidRPr="00CC6ACA" w:rsidRDefault="00762A29" w:rsidP="00EA22F9">
            <w:pPr>
              <w:spacing w:after="0" w:line="276" w:lineRule="auto"/>
              <w:rPr>
                <w:sz w:val="20"/>
                <w:szCs w:val="20"/>
              </w:rPr>
            </w:pPr>
          </w:p>
        </w:tc>
      </w:tr>
      <w:tr w:rsidR="00CC6ACA" w:rsidRPr="00CC6ACA" w14:paraId="1E284348" w14:textId="77777777" w:rsidTr="00327EF4">
        <w:trPr>
          <w:jc w:val="center"/>
        </w:trPr>
        <w:tc>
          <w:tcPr>
            <w:tcW w:w="4536" w:type="dxa"/>
          </w:tcPr>
          <w:p w14:paraId="54ED2D71" w14:textId="77777777" w:rsidR="00762A29" w:rsidRPr="00CC6ACA" w:rsidRDefault="00762A29" w:rsidP="00EA22F9">
            <w:pPr>
              <w:spacing w:after="0"/>
              <w:rPr>
                <w:sz w:val="20"/>
                <w:szCs w:val="20"/>
              </w:rPr>
            </w:pPr>
            <w:r w:rsidRPr="00CC6ACA">
              <w:rPr>
                <w:sz w:val="20"/>
                <w:szCs w:val="20"/>
              </w:rPr>
              <w:t>Rilievi geologico tecnici di dettaglio</w:t>
            </w:r>
          </w:p>
        </w:tc>
        <w:tc>
          <w:tcPr>
            <w:tcW w:w="993" w:type="dxa"/>
          </w:tcPr>
          <w:p w14:paraId="29F52065" w14:textId="77777777" w:rsidR="00762A29" w:rsidRPr="00CC6ACA" w:rsidRDefault="00762A29" w:rsidP="00EA22F9">
            <w:pPr>
              <w:spacing w:after="0"/>
              <w:jc w:val="center"/>
              <w:rPr>
                <w:sz w:val="20"/>
                <w:szCs w:val="20"/>
              </w:rPr>
            </w:pPr>
          </w:p>
        </w:tc>
        <w:tc>
          <w:tcPr>
            <w:tcW w:w="992" w:type="dxa"/>
            <w:shd w:val="clear" w:color="auto" w:fill="FFFFFF" w:themeFill="background1"/>
          </w:tcPr>
          <w:p w14:paraId="3BE87C16" w14:textId="77777777" w:rsidR="00762A29" w:rsidRPr="00CC6ACA" w:rsidRDefault="00762A29" w:rsidP="00EA22F9">
            <w:pPr>
              <w:spacing w:after="0"/>
              <w:jc w:val="center"/>
              <w:rPr>
                <w:sz w:val="20"/>
                <w:szCs w:val="20"/>
              </w:rPr>
            </w:pPr>
          </w:p>
        </w:tc>
        <w:tc>
          <w:tcPr>
            <w:tcW w:w="992" w:type="dxa"/>
            <w:shd w:val="clear" w:color="auto" w:fill="D9D9D9" w:themeFill="background1" w:themeFillShade="D9"/>
          </w:tcPr>
          <w:p w14:paraId="60ED3713" w14:textId="77777777" w:rsidR="00762A29" w:rsidRPr="00CC6ACA" w:rsidRDefault="00762A29" w:rsidP="00EA22F9">
            <w:pPr>
              <w:spacing w:after="0"/>
              <w:jc w:val="center"/>
              <w:rPr>
                <w:sz w:val="20"/>
                <w:szCs w:val="20"/>
              </w:rPr>
            </w:pPr>
          </w:p>
        </w:tc>
        <w:tc>
          <w:tcPr>
            <w:tcW w:w="944" w:type="dxa"/>
            <w:shd w:val="clear" w:color="auto" w:fill="D9D9D9" w:themeFill="background1" w:themeFillShade="D9"/>
          </w:tcPr>
          <w:p w14:paraId="0766C100" w14:textId="77777777" w:rsidR="00762A29" w:rsidRPr="00CC6ACA" w:rsidRDefault="00762A29" w:rsidP="00EA22F9">
            <w:pPr>
              <w:spacing w:after="0"/>
              <w:jc w:val="center"/>
              <w:rPr>
                <w:sz w:val="20"/>
                <w:szCs w:val="20"/>
              </w:rPr>
            </w:pPr>
          </w:p>
        </w:tc>
        <w:tc>
          <w:tcPr>
            <w:tcW w:w="820" w:type="dxa"/>
            <w:shd w:val="clear" w:color="auto" w:fill="D9D9D9" w:themeFill="background1" w:themeFillShade="D9"/>
          </w:tcPr>
          <w:p w14:paraId="0C06E276" w14:textId="77777777" w:rsidR="00762A29" w:rsidRPr="00CC6ACA" w:rsidRDefault="00762A29" w:rsidP="00EA22F9">
            <w:pPr>
              <w:spacing w:after="0"/>
              <w:jc w:val="center"/>
              <w:rPr>
                <w:sz w:val="20"/>
                <w:szCs w:val="20"/>
              </w:rPr>
            </w:pPr>
          </w:p>
        </w:tc>
        <w:tc>
          <w:tcPr>
            <w:tcW w:w="954" w:type="dxa"/>
            <w:shd w:val="clear" w:color="auto" w:fill="auto"/>
          </w:tcPr>
          <w:p w14:paraId="7F2A8AF3" w14:textId="77777777" w:rsidR="00762A29" w:rsidRPr="00CC6ACA" w:rsidRDefault="00762A29" w:rsidP="00EA22F9">
            <w:pPr>
              <w:spacing w:after="0"/>
              <w:jc w:val="center"/>
              <w:rPr>
                <w:sz w:val="20"/>
                <w:szCs w:val="20"/>
              </w:rPr>
            </w:pPr>
          </w:p>
        </w:tc>
        <w:tc>
          <w:tcPr>
            <w:tcW w:w="845" w:type="dxa"/>
          </w:tcPr>
          <w:p w14:paraId="1E21946D" w14:textId="77777777" w:rsidR="00762A29" w:rsidRPr="00CC6ACA" w:rsidRDefault="00762A29" w:rsidP="00EA22F9">
            <w:pPr>
              <w:spacing w:after="0"/>
              <w:jc w:val="center"/>
              <w:rPr>
                <w:sz w:val="20"/>
                <w:szCs w:val="20"/>
              </w:rPr>
            </w:pPr>
          </w:p>
        </w:tc>
        <w:tc>
          <w:tcPr>
            <w:tcW w:w="1224" w:type="dxa"/>
          </w:tcPr>
          <w:p w14:paraId="0947CEBA" w14:textId="77777777" w:rsidR="00762A29" w:rsidRPr="00CC6ACA" w:rsidRDefault="00762A29" w:rsidP="00EA22F9">
            <w:pPr>
              <w:spacing w:after="0"/>
              <w:jc w:val="center"/>
              <w:rPr>
                <w:sz w:val="20"/>
                <w:szCs w:val="20"/>
              </w:rPr>
            </w:pPr>
          </w:p>
        </w:tc>
        <w:tc>
          <w:tcPr>
            <w:tcW w:w="828" w:type="dxa"/>
          </w:tcPr>
          <w:p w14:paraId="22D260BB" w14:textId="77777777" w:rsidR="00762A29" w:rsidRPr="00CC6ACA" w:rsidRDefault="00762A29" w:rsidP="00EA22F9">
            <w:pPr>
              <w:spacing w:after="0"/>
              <w:jc w:val="center"/>
              <w:rPr>
                <w:sz w:val="20"/>
                <w:szCs w:val="20"/>
              </w:rPr>
            </w:pPr>
          </w:p>
        </w:tc>
        <w:tc>
          <w:tcPr>
            <w:tcW w:w="828" w:type="dxa"/>
          </w:tcPr>
          <w:p w14:paraId="7BD5B162" w14:textId="77777777" w:rsidR="00762A29" w:rsidRPr="00CC6ACA" w:rsidRDefault="00762A29" w:rsidP="00EA22F9">
            <w:pPr>
              <w:spacing w:after="0"/>
              <w:jc w:val="center"/>
              <w:rPr>
                <w:sz w:val="20"/>
                <w:szCs w:val="20"/>
              </w:rPr>
            </w:pPr>
          </w:p>
        </w:tc>
        <w:tc>
          <w:tcPr>
            <w:tcW w:w="828" w:type="dxa"/>
          </w:tcPr>
          <w:p w14:paraId="5002F96E" w14:textId="77777777" w:rsidR="00762A29" w:rsidRPr="00CC6ACA" w:rsidRDefault="00762A29" w:rsidP="00EA22F9">
            <w:pPr>
              <w:spacing w:after="0" w:line="276" w:lineRule="auto"/>
              <w:rPr>
                <w:sz w:val="20"/>
                <w:szCs w:val="20"/>
              </w:rPr>
            </w:pPr>
          </w:p>
        </w:tc>
        <w:tc>
          <w:tcPr>
            <w:tcW w:w="828" w:type="dxa"/>
          </w:tcPr>
          <w:p w14:paraId="1D27E27B" w14:textId="77777777" w:rsidR="00762A29" w:rsidRPr="00CC6ACA" w:rsidRDefault="00762A29" w:rsidP="00EA22F9">
            <w:pPr>
              <w:spacing w:after="0" w:line="276" w:lineRule="auto"/>
              <w:rPr>
                <w:sz w:val="20"/>
                <w:szCs w:val="20"/>
              </w:rPr>
            </w:pPr>
          </w:p>
        </w:tc>
      </w:tr>
      <w:tr w:rsidR="00CC6ACA" w:rsidRPr="00CC6ACA" w14:paraId="722FD313" w14:textId="77777777" w:rsidTr="000A3F27">
        <w:trPr>
          <w:jc w:val="center"/>
        </w:trPr>
        <w:tc>
          <w:tcPr>
            <w:tcW w:w="4536" w:type="dxa"/>
          </w:tcPr>
          <w:p w14:paraId="09A9D649" w14:textId="77777777" w:rsidR="00F713DB" w:rsidRPr="00CC6ACA" w:rsidRDefault="00F713DB" w:rsidP="006D43DF">
            <w:pPr>
              <w:spacing w:after="0"/>
              <w:rPr>
                <w:sz w:val="20"/>
                <w:szCs w:val="20"/>
              </w:rPr>
            </w:pPr>
            <w:r w:rsidRPr="00CC6ACA">
              <w:rPr>
                <w:sz w:val="20"/>
                <w:szCs w:val="20"/>
              </w:rPr>
              <w:t>Esecuzione delle indagini integrative e interpretazione dei risultati</w:t>
            </w:r>
          </w:p>
        </w:tc>
        <w:tc>
          <w:tcPr>
            <w:tcW w:w="993" w:type="dxa"/>
          </w:tcPr>
          <w:p w14:paraId="538E59AD" w14:textId="77777777" w:rsidR="00F713DB" w:rsidRPr="00CC6ACA" w:rsidRDefault="00F713DB" w:rsidP="006D43DF">
            <w:pPr>
              <w:spacing w:after="0"/>
              <w:jc w:val="center"/>
              <w:rPr>
                <w:sz w:val="20"/>
                <w:szCs w:val="20"/>
              </w:rPr>
            </w:pPr>
          </w:p>
        </w:tc>
        <w:tc>
          <w:tcPr>
            <w:tcW w:w="992" w:type="dxa"/>
          </w:tcPr>
          <w:p w14:paraId="171333AB" w14:textId="77777777" w:rsidR="00F713DB" w:rsidRPr="00CC6ACA" w:rsidRDefault="00F713DB" w:rsidP="006D43DF">
            <w:pPr>
              <w:spacing w:after="0"/>
              <w:jc w:val="center"/>
              <w:rPr>
                <w:sz w:val="20"/>
                <w:szCs w:val="20"/>
              </w:rPr>
            </w:pPr>
          </w:p>
        </w:tc>
        <w:tc>
          <w:tcPr>
            <w:tcW w:w="992" w:type="dxa"/>
            <w:shd w:val="clear" w:color="auto" w:fill="FFFFFF" w:themeFill="background1"/>
          </w:tcPr>
          <w:p w14:paraId="56B1D739" w14:textId="77777777" w:rsidR="00F713DB" w:rsidRPr="00CC6ACA" w:rsidRDefault="00F713DB" w:rsidP="006D43DF">
            <w:pPr>
              <w:spacing w:after="0"/>
              <w:jc w:val="center"/>
              <w:rPr>
                <w:sz w:val="20"/>
                <w:szCs w:val="20"/>
              </w:rPr>
            </w:pPr>
          </w:p>
        </w:tc>
        <w:tc>
          <w:tcPr>
            <w:tcW w:w="944" w:type="dxa"/>
            <w:shd w:val="clear" w:color="auto" w:fill="D9D9D9" w:themeFill="background1" w:themeFillShade="D9"/>
          </w:tcPr>
          <w:p w14:paraId="7F9A9712" w14:textId="77777777" w:rsidR="00F713DB" w:rsidRPr="00CC6ACA" w:rsidRDefault="00F713DB" w:rsidP="006D43DF">
            <w:pPr>
              <w:spacing w:after="0"/>
              <w:jc w:val="center"/>
              <w:rPr>
                <w:sz w:val="20"/>
                <w:szCs w:val="20"/>
              </w:rPr>
            </w:pPr>
          </w:p>
        </w:tc>
        <w:tc>
          <w:tcPr>
            <w:tcW w:w="820" w:type="dxa"/>
            <w:shd w:val="clear" w:color="auto" w:fill="D9D9D9" w:themeFill="background1" w:themeFillShade="D9"/>
          </w:tcPr>
          <w:p w14:paraId="68A286EC" w14:textId="77777777" w:rsidR="00F713DB" w:rsidRPr="00CC6ACA" w:rsidRDefault="00F713DB" w:rsidP="006D43DF">
            <w:pPr>
              <w:spacing w:after="0"/>
              <w:jc w:val="center"/>
              <w:rPr>
                <w:sz w:val="20"/>
                <w:szCs w:val="20"/>
              </w:rPr>
            </w:pPr>
          </w:p>
        </w:tc>
        <w:tc>
          <w:tcPr>
            <w:tcW w:w="954" w:type="dxa"/>
            <w:shd w:val="clear" w:color="auto" w:fill="D9D9D9" w:themeFill="background1" w:themeFillShade="D9"/>
          </w:tcPr>
          <w:p w14:paraId="3E1EEF77" w14:textId="77777777" w:rsidR="00F713DB" w:rsidRPr="00CC6ACA" w:rsidRDefault="00F713DB" w:rsidP="006D43DF">
            <w:pPr>
              <w:spacing w:after="0"/>
              <w:jc w:val="center"/>
              <w:rPr>
                <w:sz w:val="20"/>
                <w:szCs w:val="20"/>
              </w:rPr>
            </w:pPr>
          </w:p>
        </w:tc>
        <w:tc>
          <w:tcPr>
            <w:tcW w:w="845" w:type="dxa"/>
            <w:shd w:val="clear" w:color="auto" w:fill="FFFFFF" w:themeFill="background1"/>
          </w:tcPr>
          <w:p w14:paraId="43D57901" w14:textId="77777777" w:rsidR="00F713DB" w:rsidRPr="00CC6ACA" w:rsidRDefault="00F713DB" w:rsidP="006D43DF">
            <w:pPr>
              <w:spacing w:after="0"/>
              <w:jc w:val="center"/>
              <w:rPr>
                <w:sz w:val="20"/>
                <w:szCs w:val="20"/>
              </w:rPr>
            </w:pPr>
          </w:p>
        </w:tc>
        <w:tc>
          <w:tcPr>
            <w:tcW w:w="1224" w:type="dxa"/>
            <w:shd w:val="clear" w:color="auto" w:fill="FFFFFF" w:themeFill="background1"/>
          </w:tcPr>
          <w:p w14:paraId="6F8FEDDB" w14:textId="77777777" w:rsidR="00F713DB" w:rsidRPr="00CC6ACA" w:rsidRDefault="00F713DB" w:rsidP="006D43DF">
            <w:pPr>
              <w:spacing w:after="0"/>
              <w:jc w:val="center"/>
              <w:rPr>
                <w:sz w:val="20"/>
                <w:szCs w:val="20"/>
              </w:rPr>
            </w:pPr>
          </w:p>
        </w:tc>
        <w:tc>
          <w:tcPr>
            <w:tcW w:w="828" w:type="dxa"/>
            <w:shd w:val="clear" w:color="auto" w:fill="auto"/>
          </w:tcPr>
          <w:p w14:paraId="7FA4EA3C" w14:textId="77777777" w:rsidR="00F713DB" w:rsidRPr="00CC6ACA" w:rsidRDefault="00F713DB" w:rsidP="006D43DF">
            <w:pPr>
              <w:spacing w:after="0"/>
              <w:jc w:val="center"/>
              <w:rPr>
                <w:sz w:val="20"/>
                <w:szCs w:val="20"/>
              </w:rPr>
            </w:pPr>
          </w:p>
        </w:tc>
        <w:tc>
          <w:tcPr>
            <w:tcW w:w="828" w:type="dxa"/>
          </w:tcPr>
          <w:p w14:paraId="74BAED6A" w14:textId="77777777" w:rsidR="00F713DB" w:rsidRPr="00CC6ACA" w:rsidRDefault="00F713DB" w:rsidP="006D43DF">
            <w:pPr>
              <w:spacing w:after="0"/>
              <w:jc w:val="center"/>
              <w:rPr>
                <w:sz w:val="20"/>
                <w:szCs w:val="20"/>
              </w:rPr>
            </w:pPr>
          </w:p>
        </w:tc>
        <w:tc>
          <w:tcPr>
            <w:tcW w:w="828" w:type="dxa"/>
          </w:tcPr>
          <w:p w14:paraId="4232F1D2" w14:textId="77777777" w:rsidR="00F713DB" w:rsidRPr="00CC6ACA" w:rsidRDefault="00F713DB" w:rsidP="006D43DF">
            <w:pPr>
              <w:spacing w:after="0" w:line="276" w:lineRule="auto"/>
              <w:rPr>
                <w:sz w:val="20"/>
                <w:szCs w:val="20"/>
              </w:rPr>
            </w:pPr>
          </w:p>
        </w:tc>
        <w:tc>
          <w:tcPr>
            <w:tcW w:w="828" w:type="dxa"/>
          </w:tcPr>
          <w:p w14:paraId="3773D7F0" w14:textId="77777777" w:rsidR="00F713DB" w:rsidRPr="00CC6ACA" w:rsidRDefault="00F713DB" w:rsidP="006D43DF">
            <w:pPr>
              <w:spacing w:after="0" w:line="276" w:lineRule="auto"/>
              <w:rPr>
                <w:sz w:val="20"/>
                <w:szCs w:val="20"/>
              </w:rPr>
            </w:pPr>
          </w:p>
        </w:tc>
      </w:tr>
      <w:tr w:rsidR="00CC6ACA" w:rsidRPr="00CC6ACA" w14:paraId="70B17A7E" w14:textId="77777777" w:rsidTr="00F713DB">
        <w:trPr>
          <w:jc w:val="center"/>
        </w:trPr>
        <w:tc>
          <w:tcPr>
            <w:tcW w:w="4536" w:type="dxa"/>
          </w:tcPr>
          <w:p w14:paraId="2FC16548" w14:textId="77777777" w:rsidR="00F713DB" w:rsidRPr="00CC6ACA" w:rsidRDefault="00F713DB" w:rsidP="006D43DF">
            <w:pPr>
              <w:spacing w:after="0"/>
              <w:rPr>
                <w:sz w:val="20"/>
                <w:szCs w:val="20"/>
              </w:rPr>
            </w:pPr>
            <w:r w:rsidRPr="00CC6ACA">
              <w:rPr>
                <w:sz w:val="20"/>
                <w:szCs w:val="20"/>
              </w:rPr>
              <w:t>Realizzazione della Carta delle Frequenze naturali dei terreni (CF)</w:t>
            </w:r>
          </w:p>
        </w:tc>
        <w:tc>
          <w:tcPr>
            <w:tcW w:w="993" w:type="dxa"/>
          </w:tcPr>
          <w:p w14:paraId="29574BDB" w14:textId="77777777" w:rsidR="00F713DB" w:rsidRPr="00CC6ACA" w:rsidRDefault="00F713DB" w:rsidP="006D43DF">
            <w:pPr>
              <w:spacing w:after="0"/>
              <w:jc w:val="center"/>
              <w:rPr>
                <w:sz w:val="20"/>
                <w:szCs w:val="20"/>
              </w:rPr>
            </w:pPr>
          </w:p>
        </w:tc>
        <w:tc>
          <w:tcPr>
            <w:tcW w:w="992" w:type="dxa"/>
          </w:tcPr>
          <w:p w14:paraId="1505DC17" w14:textId="77777777" w:rsidR="00F713DB" w:rsidRPr="00CC6ACA" w:rsidRDefault="00F713DB" w:rsidP="006D43DF">
            <w:pPr>
              <w:spacing w:after="0"/>
              <w:jc w:val="center"/>
              <w:rPr>
                <w:sz w:val="20"/>
                <w:szCs w:val="20"/>
              </w:rPr>
            </w:pPr>
          </w:p>
        </w:tc>
        <w:tc>
          <w:tcPr>
            <w:tcW w:w="992" w:type="dxa"/>
          </w:tcPr>
          <w:p w14:paraId="1CD9156E" w14:textId="77777777" w:rsidR="00F713DB" w:rsidRPr="00CC6ACA" w:rsidRDefault="00F713DB" w:rsidP="006D43DF">
            <w:pPr>
              <w:spacing w:after="0"/>
              <w:jc w:val="center"/>
              <w:rPr>
                <w:sz w:val="20"/>
                <w:szCs w:val="20"/>
              </w:rPr>
            </w:pPr>
          </w:p>
        </w:tc>
        <w:tc>
          <w:tcPr>
            <w:tcW w:w="944" w:type="dxa"/>
            <w:shd w:val="clear" w:color="auto" w:fill="D9D9D9" w:themeFill="background1" w:themeFillShade="D9"/>
          </w:tcPr>
          <w:p w14:paraId="4F17E3D8" w14:textId="77777777" w:rsidR="00F713DB" w:rsidRPr="00CC6ACA" w:rsidRDefault="00F713DB" w:rsidP="006D43DF">
            <w:pPr>
              <w:spacing w:after="0"/>
              <w:jc w:val="center"/>
              <w:rPr>
                <w:sz w:val="20"/>
                <w:szCs w:val="20"/>
              </w:rPr>
            </w:pPr>
          </w:p>
        </w:tc>
        <w:tc>
          <w:tcPr>
            <w:tcW w:w="820" w:type="dxa"/>
            <w:shd w:val="clear" w:color="auto" w:fill="D9D9D9" w:themeFill="background1" w:themeFillShade="D9"/>
          </w:tcPr>
          <w:p w14:paraId="628CA8DD" w14:textId="77777777" w:rsidR="00F713DB" w:rsidRPr="00CC6ACA" w:rsidRDefault="00F713DB" w:rsidP="006D43DF">
            <w:pPr>
              <w:spacing w:after="0"/>
              <w:jc w:val="center"/>
              <w:rPr>
                <w:sz w:val="20"/>
                <w:szCs w:val="20"/>
              </w:rPr>
            </w:pPr>
          </w:p>
        </w:tc>
        <w:tc>
          <w:tcPr>
            <w:tcW w:w="954" w:type="dxa"/>
            <w:shd w:val="clear" w:color="auto" w:fill="FFFFFF" w:themeFill="background1"/>
          </w:tcPr>
          <w:p w14:paraId="4937067E" w14:textId="77777777" w:rsidR="00F713DB" w:rsidRPr="00CC6ACA" w:rsidRDefault="00F713DB" w:rsidP="006D43DF">
            <w:pPr>
              <w:spacing w:after="0"/>
              <w:jc w:val="center"/>
              <w:rPr>
                <w:sz w:val="20"/>
                <w:szCs w:val="20"/>
              </w:rPr>
            </w:pPr>
          </w:p>
        </w:tc>
        <w:tc>
          <w:tcPr>
            <w:tcW w:w="845" w:type="dxa"/>
            <w:shd w:val="clear" w:color="auto" w:fill="FFFFFF" w:themeFill="background1"/>
          </w:tcPr>
          <w:p w14:paraId="5F00F24D" w14:textId="77777777" w:rsidR="00F713DB" w:rsidRPr="00CC6ACA" w:rsidRDefault="00F713DB" w:rsidP="006D43DF">
            <w:pPr>
              <w:spacing w:after="0"/>
              <w:jc w:val="center"/>
              <w:rPr>
                <w:sz w:val="20"/>
                <w:szCs w:val="20"/>
              </w:rPr>
            </w:pPr>
          </w:p>
        </w:tc>
        <w:tc>
          <w:tcPr>
            <w:tcW w:w="1224" w:type="dxa"/>
            <w:shd w:val="clear" w:color="auto" w:fill="FFFFFF" w:themeFill="background1"/>
          </w:tcPr>
          <w:p w14:paraId="425C6EB5" w14:textId="77777777" w:rsidR="00F713DB" w:rsidRPr="00CC6ACA" w:rsidRDefault="00F713DB" w:rsidP="006D43DF">
            <w:pPr>
              <w:spacing w:after="0"/>
              <w:jc w:val="center"/>
              <w:rPr>
                <w:sz w:val="20"/>
                <w:szCs w:val="20"/>
              </w:rPr>
            </w:pPr>
          </w:p>
        </w:tc>
        <w:tc>
          <w:tcPr>
            <w:tcW w:w="828" w:type="dxa"/>
          </w:tcPr>
          <w:p w14:paraId="6F0FDD75" w14:textId="77777777" w:rsidR="00F713DB" w:rsidRPr="00CC6ACA" w:rsidRDefault="00F713DB" w:rsidP="006D43DF">
            <w:pPr>
              <w:spacing w:after="0"/>
              <w:jc w:val="center"/>
              <w:rPr>
                <w:sz w:val="20"/>
                <w:szCs w:val="20"/>
              </w:rPr>
            </w:pPr>
          </w:p>
        </w:tc>
        <w:tc>
          <w:tcPr>
            <w:tcW w:w="828" w:type="dxa"/>
            <w:shd w:val="clear" w:color="auto" w:fill="FFFFFF" w:themeFill="background1"/>
          </w:tcPr>
          <w:p w14:paraId="4EAFCB30" w14:textId="77777777" w:rsidR="00F713DB" w:rsidRPr="00CC6ACA" w:rsidRDefault="00F713DB" w:rsidP="006D43DF">
            <w:pPr>
              <w:spacing w:after="0"/>
              <w:jc w:val="center"/>
              <w:rPr>
                <w:sz w:val="20"/>
                <w:szCs w:val="20"/>
              </w:rPr>
            </w:pPr>
          </w:p>
        </w:tc>
        <w:tc>
          <w:tcPr>
            <w:tcW w:w="828" w:type="dxa"/>
          </w:tcPr>
          <w:p w14:paraId="4912C9AD" w14:textId="77777777" w:rsidR="00F713DB" w:rsidRPr="00CC6ACA" w:rsidRDefault="00F713DB" w:rsidP="006D43DF">
            <w:pPr>
              <w:spacing w:after="0" w:line="276" w:lineRule="auto"/>
              <w:rPr>
                <w:sz w:val="20"/>
                <w:szCs w:val="20"/>
              </w:rPr>
            </w:pPr>
          </w:p>
        </w:tc>
        <w:tc>
          <w:tcPr>
            <w:tcW w:w="828" w:type="dxa"/>
          </w:tcPr>
          <w:p w14:paraId="70CFD87F" w14:textId="77777777" w:rsidR="00F713DB" w:rsidRPr="00CC6ACA" w:rsidRDefault="00F713DB" w:rsidP="006D43DF">
            <w:pPr>
              <w:spacing w:after="0" w:line="276" w:lineRule="auto"/>
              <w:rPr>
                <w:sz w:val="20"/>
                <w:szCs w:val="20"/>
              </w:rPr>
            </w:pPr>
          </w:p>
        </w:tc>
      </w:tr>
      <w:tr w:rsidR="00CC6ACA" w:rsidRPr="00CC6ACA" w14:paraId="6677B9A4" w14:textId="77777777" w:rsidTr="006D43DF">
        <w:trPr>
          <w:jc w:val="center"/>
        </w:trPr>
        <w:tc>
          <w:tcPr>
            <w:tcW w:w="4536" w:type="dxa"/>
          </w:tcPr>
          <w:p w14:paraId="63B52570" w14:textId="77777777" w:rsidR="00F713DB" w:rsidRPr="00CC6ACA" w:rsidRDefault="00F713DB" w:rsidP="006D43DF">
            <w:pPr>
              <w:spacing w:after="0"/>
              <w:rPr>
                <w:sz w:val="20"/>
                <w:szCs w:val="20"/>
              </w:rPr>
            </w:pPr>
            <w:r w:rsidRPr="00CC6ACA">
              <w:rPr>
                <w:sz w:val="20"/>
                <w:szCs w:val="20"/>
              </w:rPr>
              <w:t>Realizzazione della Carta delle Indagini</w:t>
            </w:r>
          </w:p>
        </w:tc>
        <w:tc>
          <w:tcPr>
            <w:tcW w:w="993" w:type="dxa"/>
          </w:tcPr>
          <w:p w14:paraId="376A28A8" w14:textId="77777777" w:rsidR="00F713DB" w:rsidRPr="00CC6ACA" w:rsidRDefault="00F713DB" w:rsidP="006D43DF">
            <w:pPr>
              <w:spacing w:after="0"/>
              <w:jc w:val="center"/>
              <w:rPr>
                <w:sz w:val="20"/>
                <w:szCs w:val="20"/>
              </w:rPr>
            </w:pPr>
          </w:p>
        </w:tc>
        <w:tc>
          <w:tcPr>
            <w:tcW w:w="992" w:type="dxa"/>
          </w:tcPr>
          <w:p w14:paraId="7EA68F3E" w14:textId="77777777" w:rsidR="00F713DB" w:rsidRPr="00CC6ACA" w:rsidRDefault="00F713DB" w:rsidP="006D43DF">
            <w:pPr>
              <w:spacing w:after="0"/>
              <w:jc w:val="center"/>
              <w:rPr>
                <w:sz w:val="20"/>
                <w:szCs w:val="20"/>
              </w:rPr>
            </w:pPr>
          </w:p>
        </w:tc>
        <w:tc>
          <w:tcPr>
            <w:tcW w:w="992" w:type="dxa"/>
          </w:tcPr>
          <w:p w14:paraId="56D23209" w14:textId="77777777" w:rsidR="00F713DB" w:rsidRPr="00CC6ACA" w:rsidRDefault="00F713DB" w:rsidP="006D43DF">
            <w:pPr>
              <w:spacing w:after="0"/>
              <w:jc w:val="center"/>
              <w:rPr>
                <w:sz w:val="20"/>
                <w:szCs w:val="20"/>
              </w:rPr>
            </w:pPr>
          </w:p>
        </w:tc>
        <w:tc>
          <w:tcPr>
            <w:tcW w:w="944" w:type="dxa"/>
            <w:shd w:val="clear" w:color="auto" w:fill="auto"/>
          </w:tcPr>
          <w:p w14:paraId="58D66E7E" w14:textId="77777777" w:rsidR="00F713DB" w:rsidRPr="00CC6ACA" w:rsidRDefault="00F713DB" w:rsidP="006D43DF">
            <w:pPr>
              <w:spacing w:after="0"/>
              <w:jc w:val="center"/>
              <w:rPr>
                <w:sz w:val="20"/>
                <w:szCs w:val="20"/>
              </w:rPr>
            </w:pPr>
          </w:p>
        </w:tc>
        <w:tc>
          <w:tcPr>
            <w:tcW w:w="820" w:type="dxa"/>
            <w:shd w:val="clear" w:color="auto" w:fill="D9D9D9" w:themeFill="background1" w:themeFillShade="D9"/>
          </w:tcPr>
          <w:p w14:paraId="3559AED7" w14:textId="77777777" w:rsidR="00F713DB" w:rsidRPr="00CC6ACA" w:rsidRDefault="00F713DB" w:rsidP="006D43DF">
            <w:pPr>
              <w:spacing w:after="0"/>
              <w:jc w:val="center"/>
              <w:rPr>
                <w:sz w:val="20"/>
                <w:szCs w:val="20"/>
              </w:rPr>
            </w:pPr>
          </w:p>
        </w:tc>
        <w:tc>
          <w:tcPr>
            <w:tcW w:w="954" w:type="dxa"/>
            <w:shd w:val="clear" w:color="auto" w:fill="D9D9D9" w:themeFill="background1" w:themeFillShade="D9"/>
          </w:tcPr>
          <w:p w14:paraId="4C954A7E" w14:textId="77777777" w:rsidR="00F713DB" w:rsidRPr="00CC6ACA" w:rsidRDefault="00F713DB" w:rsidP="006D43DF">
            <w:pPr>
              <w:spacing w:after="0"/>
              <w:jc w:val="center"/>
              <w:rPr>
                <w:sz w:val="20"/>
                <w:szCs w:val="20"/>
              </w:rPr>
            </w:pPr>
          </w:p>
        </w:tc>
        <w:tc>
          <w:tcPr>
            <w:tcW w:w="845" w:type="dxa"/>
            <w:shd w:val="clear" w:color="auto" w:fill="FFFFFF" w:themeFill="background1"/>
          </w:tcPr>
          <w:p w14:paraId="16579C31" w14:textId="77777777" w:rsidR="00F713DB" w:rsidRPr="00CC6ACA" w:rsidRDefault="00F713DB" w:rsidP="006D43DF">
            <w:pPr>
              <w:spacing w:after="0"/>
              <w:jc w:val="center"/>
              <w:rPr>
                <w:sz w:val="20"/>
                <w:szCs w:val="20"/>
              </w:rPr>
            </w:pPr>
          </w:p>
        </w:tc>
        <w:tc>
          <w:tcPr>
            <w:tcW w:w="1224" w:type="dxa"/>
            <w:shd w:val="clear" w:color="auto" w:fill="FFFFFF" w:themeFill="background1"/>
          </w:tcPr>
          <w:p w14:paraId="3A0FC42A" w14:textId="77777777" w:rsidR="00F713DB" w:rsidRPr="00CC6ACA" w:rsidRDefault="00F713DB" w:rsidP="006D43DF">
            <w:pPr>
              <w:spacing w:after="0"/>
              <w:jc w:val="center"/>
              <w:rPr>
                <w:sz w:val="20"/>
                <w:szCs w:val="20"/>
              </w:rPr>
            </w:pPr>
          </w:p>
        </w:tc>
        <w:tc>
          <w:tcPr>
            <w:tcW w:w="828" w:type="dxa"/>
            <w:shd w:val="clear" w:color="auto" w:fill="auto"/>
          </w:tcPr>
          <w:p w14:paraId="09E55A39" w14:textId="77777777" w:rsidR="00F713DB" w:rsidRPr="00CC6ACA" w:rsidRDefault="00F713DB" w:rsidP="006D43DF">
            <w:pPr>
              <w:spacing w:after="0"/>
              <w:jc w:val="center"/>
              <w:rPr>
                <w:sz w:val="20"/>
                <w:szCs w:val="20"/>
              </w:rPr>
            </w:pPr>
          </w:p>
        </w:tc>
        <w:tc>
          <w:tcPr>
            <w:tcW w:w="828" w:type="dxa"/>
            <w:shd w:val="clear" w:color="auto" w:fill="auto"/>
          </w:tcPr>
          <w:p w14:paraId="3EC303D0" w14:textId="77777777" w:rsidR="00F713DB" w:rsidRPr="00CC6ACA" w:rsidRDefault="00F713DB" w:rsidP="006D43DF">
            <w:pPr>
              <w:spacing w:after="0"/>
              <w:jc w:val="center"/>
              <w:rPr>
                <w:sz w:val="20"/>
                <w:szCs w:val="20"/>
              </w:rPr>
            </w:pPr>
          </w:p>
        </w:tc>
        <w:tc>
          <w:tcPr>
            <w:tcW w:w="828" w:type="dxa"/>
          </w:tcPr>
          <w:p w14:paraId="5A762ADD" w14:textId="77777777" w:rsidR="00F713DB" w:rsidRPr="00CC6ACA" w:rsidRDefault="00F713DB" w:rsidP="006D43DF">
            <w:pPr>
              <w:spacing w:after="0" w:line="276" w:lineRule="auto"/>
              <w:rPr>
                <w:sz w:val="20"/>
                <w:szCs w:val="20"/>
              </w:rPr>
            </w:pPr>
          </w:p>
        </w:tc>
        <w:tc>
          <w:tcPr>
            <w:tcW w:w="828" w:type="dxa"/>
          </w:tcPr>
          <w:p w14:paraId="02573422" w14:textId="77777777" w:rsidR="00F713DB" w:rsidRPr="00CC6ACA" w:rsidRDefault="00F713DB" w:rsidP="006D43DF">
            <w:pPr>
              <w:spacing w:after="0" w:line="276" w:lineRule="auto"/>
              <w:rPr>
                <w:sz w:val="20"/>
                <w:szCs w:val="20"/>
              </w:rPr>
            </w:pPr>
          </w:p>
        </w:tc>
      </w:tr>
      <w:tr w:rsidR="00CC6ACA" w:rsidRPr="00CC6ACA" w14:paraId="71F79BC6" w14:textId="77777777" w:rsidTr="00153E64">
        <w:trPr>
          <w:jc w:val="center"/>
        </w:trPr>
        <w:tc>
          <w:tcPr>
            <w:tcW w:w="4536" w:type="dxa"/>
          </w:tcPr>
          <w:p w14:paraId="1A19B8C0" w14:textId="77777777" w:rsidR="00730C6C" w:rsidRPr="00CC6ACA" w:rsidRDefault="00730C6C" w:rsidP="006D43DF">
            <w:pPr>
              <w:spacing w:after="0"/>
              <w:rPr>
                <w:sz w:val="20"/>
                <w:szCs w:val="20"/>
              </w:rPr>
            </w:pPr>
            <w:r w:rsidRPr="00CC6ACA">
              <w:rPr>
                <w:sz w:val="20"/>
                <w:szCs w:val="20"/>
              </w:rPr>
              <w:t>Revisione della Carta geologico-tecnica (CGT) corredata dalle sezioni</w:t>
            </w:r>
          </w:p>
        </w:tc>
        <w:tc>
          <w:tcPr>
            <w:tcW w:w="993" w:type="dxa"/>
          </w:tcPr>
          <w:p w14:paraId="67D16501" w14:textId="77777777" w:rsidR="00730C6C" w:rsidRPr="00CC6ACA" w:rsidRDefault="00730C6C" w:rsidP="006D43DF">
            <w:pPr>
              <w:spacing w:after="0"/>
              <w:jc w:val="center"/>
              <w:rPr>
                <w:sz w:val="20"/>
                <w:szCs w:val="20"/>
              </w:rPr>
            </w:pPr>
          </w:p>
        </w:tc>
        <w:tc>
          <w:tcPr>
            <w:tcW w:w="992" w:type="dxa"/>
          </w:tcPr>
          <w:p w14:paraId="671CCD99" w14:textId="77777777" w:rsidR="00730C6C" w:rsidRPr="00CC6ACA" w:rsidRDefault="00730C6C" w:rsidP="006D43DF">
            <w:pPr>
              <w:spacing w:after="0"/>
              <w:jc w:val="center"/>
              <w:rPr>
                <w:sz w:val="20"/>
                <w:szCs w:val="20"/>
              </w:rPr>
            </w:pPr>
          </w:p>
        </w:tc>
        <w:tc>
          <w:tcPr>
            <w:tcW w:w="992" w:type="dxa"/>
          </w:tcPr>
          <w:p w14:paraId="5708588C" w14:textId="77777777" w:rsidR="00730C6C" w:rsidRPr="00CC6ACA" w:rsidRDefault="00730C6C" w:rsidP="006D43DF">
            <w:pPr>
              <w:spacing w:after="0"/>
              <w:jc w:val="center"/>
              <w:rPr>
                <w:sz w:val="20"/>
                <w:szCs w:val="20"/>
              </w:rPr>
            </w:pPr>
          </w:p>
        </w:tc>
        <w:tc>
          <w:tcPr>
            <w:tcW w:w="944" w:type="dxa"/>
            <w:shd w:val="clear" w:color="auto" w:fill="FFFFFF" w:themeFill="background1"/>
          </w:tcPr>
          <w:p w14:paraId="7639D743" w14:textId="77777777" w:rsidR="00730C6C" w:rsidRPr="00CC6ACA" w:rsidRDefault="00730C6C" w:rsidP="006D43DF">
            <w:pPr>
              <w:spacing w:after="0"/>
              <w:jc w:val="center"/>
              <w:rPr>
                <w:sz w:val="20"/>
                <w:szCs w:val="20"/>
              </w:rPr>
            </w:pPr>
          </w:p>
        </w:tc>
        <w:tc>
          <w:tcPr>
            <w:tcW w:w="820" w:type="dxa"/>
            <w:shd w:val="clear" w:color="auto" w:fill="FFFFFF" w:themeFill="background1"/>
          </w:tcPr>
          <w:p w14:paraId="24040E77" w14:textId="77777777" w:rsidR="00730C6C" w:rsidRPr="00CC6ACA" w:rsidRDefault="00730C6C" w:rsidP="006D43DF">
            <w:pPr>
              <w:spacing w:after="0"/>
              <w:jc w:val="center"/>
              <w:rPr>
                <w:sz w:val="20"/>
                <w:szCs w:val="20"/>
              </w:rPr>
            </w:pPr>
          </w:p>
        </w:tc>
        <w:tc>
          <w:tcPr>
            <w:tcW w:w="954" w:type="dxa"/>
            <w:shd w:val="clear" w:color="auto" w:fill="D9D9D9" w:themeFill="background1" w:themeFillShade="D9"/>
          </w:tcPr>
          <w:p w14:paraId="4AABBF13" w14:textId="77777777" w:rsidR="00730C6C" w:rsidRPr="00CC6ACA" w:rsidRDefault="00730C6C" w:rsidP="006D43DF">
            <w:pPr>
              <w:spacing w:after="0"/>
              <w:jc w:val="center"/>
              <w:rPr>
                <w:sz w:val="20"/>
                <w:szCs w:val="20"/>
              </w:rPr>
            </w:pPr>
          </w:p>
        </w:tc>
        <w:tc>
          <w:tcPr>
            <w:tcW w:w="845" w:type="dxa"/>
            <w:shd w:val="clear" w:color="auto" w:fill="D9D9D9" w:themeFill="background1" w:themeFillShade="D9"/>
          </w:tcPr>
          <w:p w14:paraId="39CE1F8F" w14:textId="77777777" w:rsidR="00730C6C" w:rsidRPr="00CC6ACA" w:rsidRDefault="00730C6C" w:rsidP="006D43DF">
            <w:pPr>
              <w:spacing w:after="0"/>
              <w:jc w:val="center"/>
              <w:rPr>
                <w:sz w:val="20"/>
                <w:szCs w:val="20"/>
              </w:rPr>
            </w:pPr>
          </w:p>
        </w:tc>
        <w:tc>
          <w:tcPr>
            <w:tcW w:w="1224" w:type="dxa"/>
            <w:shd w:val="clear" w:color="auto" w:fill="auto"/>
          </w:tcPr>
          <w:p w14:paraId="339D7AC1" w14:textId="77777777" w:rsidR="00730C6C" w:rsidRPr="00CC6ACA" w:rsidRDefault="00730C6C" w:rsidP="006D43DF">
            <w:pPr>
              <w:spacing w:after="0"/>
              <w:jc w:val="center"/>
              <w:rPr>
                <w:sz w:val="20"/>
                <w:szCs w:val="20"/>
              </w:rPr>
            </w:pPr>
          </w:p>
        </w:tc>
        <w:tc>
          <w:tcPr>
            <w:tcW w:w="828" w:type="dxa"/>
            <w:shd w:val="clear" w:color="auto" w:fill="auto"/>
          </w:tcPr>
          <w:p w14:paraId="3B7B14BB" w14:textId="77777777" w:rsidR="00730C6C" w:rsidRPr="00CC6ACA" w:rsidRDefault="00730C6C" w:rsidP="006D43DF">
            <w:pPr>
              <w:spacing w:after="0"/>
              <w:jc w:val="center"/>
              <w:rPr>
                <w:sz w:val="20"/>
                <w:szCs w:val="20"/>
              </w:rPr>
            </w:pPr>
          </w:p>
        </w:tc>
        <w:tc>
          <w:tcPr>
            <w:tcW w:w="828" w:type="dxa"/>
            <w:shd w:val="clear" w:color="auto" w:fill="auto"/>
          </w:tcPr>
          <w:p w14:paraId="7BD722DF" w14:textId="77777777" w:rsidR="00730C6C" w:rsidRPr="00CC6ACA" w:rsidRDefault="00730C6C" w:rsidP="006D43DF">
            <w:pPr>
              <w:spacing w:after="0"/>
              <w:jc w:val="center"/>
              <w:rPr>
                <w:sz w:val="20"/>
                <w:szCs w:val="20"/>
              </w:rPr>
            </w:pPr>
          </w:p>
        </w:tc>
        <w:tc>
          <w:tcPr>
            <w:tcW w:w="828" w:type="dxa"/>
          </w:tcPr>
          <w:p w14:paraId="0761B628" w14:textId="77777777" w:rsidR="00730C6C" w:rsidRPr="00CC6ACA" w:rsidRDefault="00730C6C" w:rsidP="006D43DF">
            <w:pPr>
              <w:spacing w:after="0" w:line="276" w:lineRule="auto"/>
              <w:rPr>
                <w:sz w:val="20"/>
                <w:szCs w:val="20"/>
              </w:rPr>
            </w:pPr>
          </w:p>
        </w:tc>
        <w:tc>
          <w:tcPr>
            <w:tcW w:w="828" w:type="dxa"/>
          </w:tcPr>
          <w:p w14:paraId="4A95DACC" w14:textId="77777777" w:rsidR="00730C6C" w:rsidRPr="00CC6ACA" w:rsidRDefault="00730C6C" w:rsidP="006D43DF">
            <w:pPr>
              <w:spacing w:after="0" w:line="276" w:lineRule="auto"/>
              <w:rPr>
                <w:sz w:val="20"/>
                <w:szCs w:val="20"/>
              </w:rPr>
            </w:pPr>
          </w:p>
        </w:tc>
      </w:tr>
      <w:tr w:rsidR="00CC6ACA" w:rsidRPr="00CC6ACA" w14:paraId="329362D7" w14:textId="77777777" w:rsidTr="00D8485F">
        <w:trPr>
          <w:jc w:val="center"/>
        </w:trPr>
        <w:tc>
          <w:tcPr>
            <w:tcW w:w="4536" w:type="dxa"/>
          </w:tcPr>
          <w:p w14:paraId="431FE8B3" w14:textId="77777777" w:rsidR="00762A29" w:rsidRPr="00CC6ACA" w:rsidRDefault="00762A29" w:rsidP="00EA22F9">
            <w:pPr>
              <w:spacing w:after="0"/>
              <w:rPr>
                <w:sz w:val="20"/>
                <w:szCs w:val="20"/>
              </w:rPr>
            </w:pPr>
            <w:r w:rsidRPr="00CC6ACA">
              <w:rPr>
                <w:sz w:val="20"/>
                <w:szCs w:val="20"/>
              </w:rPr>
              <w:t>Revisione della Carta delle microzone omogenee in prospettiva sismica (MOPS)</w:t>
            </w:r>
          </w:p>
        </w:tc>
        <w:tc>
          <w:tcPr>
            <w:tcW w:w="993" w:type="dxa"/>
          </w:tcPr>
          <w:p w14:paraId="3A2EF8EA" w14:textId="77777777" w:rsidR="00762A29" w:rsidRPr="00CC6ACA" w:rsidRDefault="00762A29" w:rsidP="00EA22F9">
            <w:pPr>
              <w:spacing w:after="0"/>
              <w:jc w:val="center"/>
              <w:rPr>
                <w:sz w:val="20"/>
                <w:szCs w:val="20"/>
              </w:rPr>
            </w:pPr>
          </w:p>
        </w:tc>
        <w:tc>
          <w:tcPr>
            <w:tcW w:w="992" w:type="dxa"/>
          </w:tcPr>
          <w:p w14:paraId="370FF356" w14:textId="77777777" w:rsidR="00762A29" w:rsidRPr="00CC6ACA" w:rsidRDefault="00762A29" w:rsidP="00EA22F9">
            <w:pPr>
              <w:spacing w:after="0"/>
              <w:jc w:val="center"/>
              <w:rPr>
                <w:sz w:val="20"/>
                <w:szCs w:val="20"/>
              </w:rPr>
            </w:pPr>
          </w:p>
        </w:tc>
        <w:tc>
          <w:tcPr>
            <w:tcW w:w="992" w:type="dxa"/>
          </w:tcPr>
          <w:p w14:paraId="79F70B45" w14:textId="77777777" w:rsidR="00762A29" w:rsidRPr="00CC6ACA" w:rsidRDefault="00762A29" w:rsidP="00EA22F9">
            <w:pPr>
              <w:spacing w:after="0"/>
              <w:jc w:val="center"/>
              <w:rPr>
                <w:sz w:val="20"/>
                <w:szCs w:val="20"/>
              </w:rPr>
            </w:pPr>
          </w:p>
        </w:tc>
        <w:tc>
          <w:tcPr>
            <w:tcW w:w="944" w:type="dxa"/>
            <w:shd w:val="clear" w:color="auto" w:fill="auto"/>
          </w:tcPr>
          <w:p w14:paraId="15785EE3" w14:textId="77777777" w:rsidR="00762A29" w:rsidRPr="00CC6ACA" w:rsidRDefault="00762A29" w:rsidP="00EA22F9">
            <w:pPr>
              <w:spacing w:after="0"/>
              <w:jc w:val="center"/>
              <w:rPr>
                <w:sz w:val="20"/>
                <w:szCs w:val="20"/>
              </w:rPr>
            </w:pPr>
          </w:p>
        </w:tc>
        <w:tc>
          <w:tcPr>
            <w:tcW w:w="820" w:type="dxa"/>
            <w:shd w:val="clear" w:color="auto" w:fill="auto"/>
          </w:tcPr>
          <w:p w14:paraId="45DCF804" w14:textId="77777777" w:rsidR="00762A29" w:rsidRPr="00CC6ACA" w:rsidRDefault="00762A29" w:rsidP="00EA22F9">
            <w:pPr>
              <w:spacing w:after="0"/>
              <w:jc w:val="center"/>
              <w:rPr>
                <w:sz w:val="20"/>
                <w:szCs w:val="20"/>
              </w:rPr>
            </w:pPr>
          </w:p>
        </w:tc>
        <w:tc>
          <w:tcPr>
            <w:tcW w:w="954" w:type="dxa"/>
            <w:shd w:val="clear" w:color="auto" w:fill="FFFFFF" w:themeFill="background1"/>
          </w:tcPr>
          <w:p w14:paraId="49238B38" w14:textId="77777777" w:rsidR="00762A29" w:rsidRPr="00CC6ACA" w:rsidRDefault="00762A29" w:rsidP="00EA22F9">
            <w:pPr>
              <w:spacing w:after="0"/>
              <w:rPr>
                <w:sz w:val="20"/>
                <w:szCs w:val="20"/>
              </w:rPr>
            </w:pPr>
          </w:p>
        </w:tc>
        <w:tc>
          <w:tcPr>
            <w:tcW w:w="845" w:type="dxa"/>
            <w:shd w:val="clear" w:color="auto" w:fill="D9D9D9" w:themeFill="background1" w:themeFillShade="D9"/>
          </w:tcPr>
          <w:p w14:paraId="73A0AE0B" w14:textId="77777777" w:rsidR="00762A29" w:rsidRPr="00CC6ACA" w:rsidRDefault="00762A29" w:rsidP="00EA22F9">
            <w:pPr>
              <w:spacing w:after="0"/>
              <w:jc w:val="center"/>
              <w:rPr>
                <w:sz w:val="20"/>
                <w:szCs w:val="20"/>
              </w:rPr>
            </w:pPr>
          </w:p>
        </w:tc>
        <w:tc>
          <w:tcPr>
            <w:tcW w:w="1224" w:type="dxa"/>
            <w:shd w:val="clear" w:color="auto" w:fill="D9D9D9" w:themeFill="background1" w:themeFillShade="D9"/>
          </w:tcPr>
          <w:p w14:paraId="7641DFDE" w14:textId="77777777" w:rsidR="00762A29" w:rsidRPr="00CC6ACA" w:rsidRDefault="00762A29" w:rsidP="00EA22F9">
            <w:pPr>
              <w:spacing w:after="0"/>
              <w:jc w:val="center"/>
              <w:rPr>
                <w:sz w:val="20"/>
                <w:szCs w:val="20"/>
              </w:rPr>
            </w:pPr>
          </w:p>
        </w:tc>
        <w:tc>
          <w:tcPr>
            <w:tcW w:w="828" w:type="dxa"/>
            <w:shd w:val="clear" w:color="auto" w:fill="FFFFFF" w:themeFill="background1"/>
          </w:tcPr>
          <w:p w14:paraId="58363BDC" w14:textId="77777777" w:rsidR="00762A29" w:rsidRPr="00CC6ACA" w:rsidRDefault="00762A29" w:rsidP="00EA22F9">
            <w:pPr>
              <w:spacing w:after="0"/>
              <w:jc w:val="center"/>
              <w:rPr>
                <w:sz w:val="20"/>
                <w:szCs w:val="20"/>
              </w:rPr>
            </w:pPr>
          </w:p>
        </w:tc>
        <w:tc>
          <w:tcPr>
            <w:tcW w:w="828" w:type="dxa"/>
            <w:shd w:val="clear" w:color="auto" w:fill="FFFFFF" w:themeFill="background1"/>
          </w:tcPr>
          <w:p w14:paraId="33A35CA3" w14:textId="77777777" w:rsidR="00762A29" w:rsidRPr="00CC6ACA" w:rsidRDefault="00762A29" w:rsidP="00EA22F9">
            <w:pPr>
              <w:spacing w:after="0"/>
              <w:jc w:val="center"/>
              <w:rPr>
                <w:sz w:val="20"/>
                <w:szCs w:val="20"/>
              </w:rPr>
            </w:pPr>
          </w:p>
        </w:tc>
        <w:tc>
          <w:tcPr>
            <w:tcW w:w="828" w:type="dxa"/>
          </w:tcPr>
          <w:p w14:paraId="1D259A68" w14:textId="77777777" w:rsidR="00762A29" w:rsidRPr="00CC6ACA" w:rsidRDefault="00762A29" w:rsidP="00EA22F9">
            <w:pPr>
              <w:spacing w:after="0" w:line="276" w:lineRule="auto"/>
              <w:rPr>
                <w:sz w:val="20"/>
                <w:szCs w:val="20"/>
              </w:rPr>
            </w:pPr>
          </w:p>
        </w:tc>
        <w:tc>
          <w:tcPr>
            <w:tcW w:w="828" w:type="dxa"/>
          </w:tcPr>
          <w:p w14:paraId="46A13C4E" w14:textId="77777777" w:rsidR="00762A29" w:rsidRPr="00CC6ACA" w:rsidRDefault="00762A29" w:rsidP="00EA22F9">
            <w:pPr>
              <w:spacing w:after="0" w:line="276" w:lineRule="auto"/>
              <w:rPr>
                <w:sz w:val="20"/>
                <w:szCs w:val="20"/>
              </w:rPr>
            </w:pPr>
          </w:p>
        </w:tc>
      </w:tr>
      <w:tr w:rsidR="00CC6ACA" w:rsidRPr="00CC6ACA" w14:paraId="0ECDDB01" w14:textId="77777777" w:rsidTr="00153E64">
        <w:trPr>
          <w:jc w:val="center"/>
        </w:trPr>
        <w:tc>
          <w:tcPr>
            <w:tcW w:w="4536" w:type="dxa"/>
          </w:tcPr>
          <w:p w14:paraId="5B439829" w14:textId="77777777" w:rsidR="00762A29" w:rsidRPr="00CC6ACA" w:rsidRDefault="00762A29" w:rsidP="00EA22F9">
            <w:pPr>
              <w:spacing w:after="0"/>
              <w:rPr>
                <w:sz w:val="20"/>
                <w:szCs w:val="20"/>
              </w:rPr>
            </w:pPr>
            <w:r w:rsidRPr="00CC6ACA">
              <w:rPr>
                <w:sz w:val="20"/>
                <w:szCs w:val="20"/>
              </w:rPr>
              <w:t xml:space="preserve">Definizione del modello di sottosuolo finalizzato allo studio di MS </w:t>
            </w:r>
          </w:p>
        </w:tc>
        <w:tc>
          <w:tcPr>
            <w:tcW w:w="993" w:type="dxa"/>
          </w:tcPr>
          <w:p w14:paraId="4B3156BA" w14:textId="77777777" w:rsidR="00762A29" w:rsidRPr="00CC6ACA" w:rsidRDefault="00762A29" w:rsidP="00EA22F9">
            <w:pPr>
              <w:spacing w:after="0"/>
              <w:jc w:val="center"/>
              <w:rPr>
                <w:sz w:val="20"/>
                <w:szCs w:val="20"/>
              </w:rPr>
            </w:pPr>
          </w:p>
        </w:tc>
        <w:tc>
          <w:tcPr>
            <w:tcW w:w="992" w:type="dxa"/>
          </w:tcPr>
          <w:p w14:paraId="3ED904BF" w14:textId="77777777" w:rsidR="00762A29" w:rsidRPr="00CC6ACA" w:rsidRDefault="00762A29" w:rsidP="00EA22F9">
            <w:pPr>
              <w:spacing w:after="0"/>
              <w:jc w:val="center"/>
              <w:rPr>
                <w:sz w:val="20"/>
                <w:szCs w:val="20"/>
              </w:rPr>
            </w:pPr>
          </w:p>
        </w:tc>
        <w:tc>
          <w:tcPr>
            <w:tcW w:w="992" w:type="dxa"/>
          </w:tcPr>
          <w:p w14:paraId="2697F1CC" w14:textId="77777777" w:rsidR="00762A29" w:rsidRPr="00CC6ACA" w:rsidRDefault="00762A29" w:rsidP="00EA22F9">
            <w:pPr>
              <w:spacing w:after="0"/>
              <w:jc w:val="center"/>
              <w:rPr>
                <w:sz w:val="20"/>
                <w:szCs w:val="20"/>
              </w:rPr>
            </w:pPr>
          </w:p>
        </w:tc>
        <w:tc>
          <w:tcPr>
            <w:tcW w:w="944" w:type="dxa"/>
          </w:tcPr>
          <w:p w14:paraId="2E23F3DB" w14:textId="77777777" w:rsidR="00762A29" w:rsidRPr="00CC6ACA" w:rsidRDefault="00762A29" w:rsidP="00EA22F9">
            <w:pPr>
              <w:spacing w:after="0"/>
              <w:jc w:val="center"/>
              <w:rPr>
                <w:sz w:val="20"/>
                <w:szCs w:val="20"/>
              </w:rPr>
            </w:pPr>
          </w:p>
        </w:tc>
        <w:tc>
          <w:tcPr>
            <w:tcW w:w="820" w:type="dxa"/>
            <w:shd w:val="clear" w:color="auto" w:fill="FFFFFF" w:themeFill="background1"/>
          </w:tcPr>
          <w:p w14:paraId="344EDCBF" w14:textId="77777777" w:rsidR="00762A29" w:rsidRPr="00CC6ACA" w:rsidRDefault="00762A29" w:rsidP="00EA22F9">
            <w:pPr>
              <w:spacing w:after="0"/>
              <w:jc w:val="center"/>
              <w:rPr>
                <w:sz w:val="20"/>
                <w:szCs w:val="20"/>
              </w:rPr>
            </w:pPr>
          </w:p>
        </w:tc>
        <w:tc>
          <w:tcPr>
            <w:tcW w:w="954" w:type="dxa"/>
            <w:shd w:val="clear" w:color="auto" w:fill="auto"/>
          </w:tcPr>
          <w:p w14:paraId="50774A1A" w14:textId="77777777" w:rsidR="00762A29" w:rsidRPr="00CC6ACA" w:rsidRDefault="00762A29" w:rsidP="00EA22F9">
            <w:pPr>
              <w:spacing w:after="0"/>
              <w:jc w:val="center"/>
              <w:rPr>
                <w:sz w:val="20"/>
                <w:szCs w:val="20"/>
              </w:rPr>
            </w:pPr>
          </w:p>
        </w:tc>
        <w:tc>
          <w:tcPr>
            <w:tcW w:w="845" w:type="dxa"/>
            <w:shd w:val="clear" w:color="auto" w:fill="FFFFFF" w:themeFill="background1"/>
          </w:tcPr>
          <w:p w14:paraId="0B62A290" w14:textId="77777777" w:rsidR="00762A29" w:rsidRPr="00CC6ACA" w:rsidRDefault="00762A29" w:rsidP="00EA22F9">
            <w:pPr>
              <w:spacing w:after="0"/>
              <w:jc w:val="center"/>
              <w:rPr>
                <w:sz w:val="20"/>
                <w:szCs w:val="20"/>
              </w:rPr>
            </w:pPr>
          </w:p>
        </w:tc>
        <w:tc>
          <w:tcPr>
            <w:tcW w:w="1224" w:type="dxa"/>
            <w:shd w:val="clear" w:color="auto" w:fill="D9D9D9" w:themeFill="background1" w:themeFillShade="D9"/>
          </w:tcPr>
          <w:p w14:paraId="62031CFE"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2C7C1C55"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3057BD79" w14:textId="77777777" w:rsidR="00762A29" w:rsidRPr="00CC6ACA" w:rsidRDefault="00762A29" w:rsidP="00EA22F9">
            <w:pPr>
              <w:spacing w:after="0"/>
              <w:jc w:val="center"/>
              <w:rPr>
                <w:sz w:val="20"/>
                <w:szCs w:val="20"/>
              </w:rPr>
            </w:pPr>
          </w:p>
        </w:tc>
        <w:tc>
          <w:tcPr>
            <w:tcW w:w="828" w:type="dxa"/>
          </w:tcPr>
          <w:p w14:paraId="310CA792" w14:textId="77777777" w:rsidR="00762A29" w:rsidRPr="00CC6ACA" w:rsidRDefault="00762A29" w:rsidP="00EA22F9">
            <w:pPr>
              <w:spacing w:after="0" w:line="276" w:lineRule="auto"/>
              <w:rPr>
                <w:sz w:val="20"/>
                <w:szCs w:val="20"/>
              </w:rPr>
            </w:pPr>
          </w:p>
        </w:tc>
        <w:tc>
          <w:tcPr>
            <w:tcW w:w="828" w:type="dxa"/>
          </w:tcPr>
          <w:p w14:paraId="4D8552FF" w14:textId="77777777" w:rsidR="00762A29" w:rsidRPr="00CC6ACA" w:rsidRDefault="00762A29" w:rsidP="00EA22F9">
            <w:pPr>
              <w:spacing w:after="0" w:line="276" w:lineRule="auto"/>
              <w:rPr>
                <w:sz w:val="20"/>
                <w:szCs w:val="20"/>
              </w:rPr>
            </w:pPr>
          </w:p>
        </w:tc>
      </w:tr>
      <w:tr w:rsidR="00CC6ACA" w:rsidRPr="00CC6ACA" w14:paraId="7CD26802" w14:textId="77777777" w:rsidTr="000F4F47">
        <w:trPr>
          <w:jc w:val="center"/>
        </w:trPr>
        <w:tc>
          <w:tcPr>
            <w:tcW w:w="4536" w:type="dxa"/>
          </w:tcPr>
          <w:p w14:paraId="0A576B17" w14:textId="77777777" w:rsidR="00762A29" w:rsidRPr="00CC6ACA" w:rsidRDefault="00762A29" w:rsidP="00EA22F9">
            <w:pPr>
              <w:spacing w:after="0"/>
              <w:rPr>
                <w:sz w:val="20"/>
                <w:szCs w:val="20"/>
              </w:rPr>
            </w:pPr>
            <w:r w:rsidRPr="00CC6ACA">
              <w:rPr>
                <w:sz w:val="20"/>
                <w:szCs w:val="20"/>
              </w:rPr>
              <w:t xml:space="preserve">Determinazione della risposta sismica locale </w:t>
            </w:r>
          </w:p>
        </w:tc>
        <w:tc>
          <w:tcPr>
            <w:tcW w:w="993" w:type="dxa"/>
          </w:tcPr>
          <w:p w14:paraId="56B40DE5" w14:textId="77777777" w:rsidR="00762A29" w:rsidRPr="00CC6ACA" w:rsidRDefault="00762A29" w:rsidP="00EA22F9">
            <w:pPr>
              <w:spacing w:after="0"/>
              <w:jc w:val="center"/>
              <w:rPr>
                <w:sz w:val="20"/>
                <w:szCs w:val="20"/>
              </w:rPr>
            </w:pPr>
          </w:p>
        </w:tc>
        <w:tc>
          <w:tcPr>
            <w:tcW w:w="992" w:type="dxa"/>
          </w:tcPr>
          <w:p w14:paraId="54860167" w14:textId="77777777" w:rsidR="00762A29" w:rsidRPr="00CC6ACA" w:rsidRDefault="00762A29" w:rsidP="00EA22F9">
            <w:pPr>
              <w:spacing w:after="0"/>
              <w:jc w:val="center"/>
              <w:rPr>
                <w:sz w:val="20"/>
                <w:szCs w:val="20"/>
              </w:rPr>
            </w:pPr>
          </w:p>
        </w:tc>
        <w:tc>
          <w:tcPr>
            <w:tcW w:w="992" w:type="dxa"/>
          </w:tcPr>
          <w:p w14:paraId="33F0A5E2" w14:textId="77777777" w:rsidR="00762A29" w:rsidRPr="00CC6ACA" w:rsidRDefault="00762A29" w:rsidP="00EA22F9">
            <w:pPr>
              <w:spacing w:after="0"/>
              <w:jc w:val="center"/>
              <w:rPr>
                <w:sz w:val="20"/>
                <w:szCs w:val="20"/>
              </w:rPr>
            </w:pPr>
          </w:p>
        </w:tc>
        <w:tc>
          <w:tcPr>
            <w:tcW w:w="944" w:type="dxa"/>
          </w:tcPr>
          <w:p w14:paraId="3218A44C" w14:textId="77777777" w:rsidR="00762A29" w:rsidRPr="00CC6ACA" w:rsidRDefault="00762A29" w:rsidP="00EA22F9">
            <w:pPr>
              <w:spacing w:after="0"/>
              <w:jc w:val="center"/>
              <w:rPr>
                <w:sz w:val="20"/>
                <w:szCs w:val="20"/>
              </w:rPr>
            </w:pPr>
          </w:p>
        </w:tc>
        <w:tc>
          <w:tcPr>
            <w:tcW w:w="820" w:type="dxa"/>
            <w:shd w:val="clear" w:color="auto" w:fill="FFFFFF" w:themeFill="background1"/>
          </w:tcPr>
          <w:p w14:paraId="7663BF3D" w14:textId="77777777" w:rsidR="00762A29" w:rsidRPr="00CC6ACA" w:rsidRDefault="00762A29" w:rsidP="00EA22F9">
            <w:pPr>
              <w:spacing w:after="0"/>
              <w:jc w:val="center"/>
              <w:rPr>
                <w:sz w:val="20"/>
                <w:szCs w:val="20"/>
              </w:rPr>
            </w:pPr>
          </w:p>
        </w:tc>
        <w:tc>
          <w:tcPr>
            <w:tcW w:w="954" w:type="dxa"/>
            <w:shd w:val="clear" w:color="auto" w:fill="FFFFFF" w:themeFill="background1"/>
          </w:tcPr>
          <w:p w14:paraId="6BAC79DF" w14:textId="77777777" w:rsidR="00762A29" w:rsidRPr="00CC6ACA" w:rsidRDefault="00762A29" w:rsidP="00EA22F9">
            <w:pPr>
              <w:spacing w:after="0"/>
              <w:jc w:val="center"/>
              <w:rPr>
                <w:sz w:val="20"/>
                <w:szCs w:val="20"/>
              </w:rPr>
            </w:pPr>
          </w:p>
        </w:tc>
        <w:tc>
          <w:tcPr>
            <w:tcW w:w="845" w:type="dxa"/>
          </w:tcPr>
          <w:p w14:paraId="52CC63CF" w14:textId="77777777" w:rsidR="00762A29" w:rsidRPr="00CC6ACA" w:rsidRDefault="00762A29" w:rsidP="00EA22F9">
            <w:pPr>
              <w:spacing w:after="0"/>
              <w:jc w:val="center"/>
              <w:rPr>
                <w:sz w:val="20"/>
                <w:szCs w:val="20"/>
              </w:rPr>
            </w:pPr>
          </w:p>
        </w:tc>
        <w:tc>
          <w:tcPr>
            <w:tcW w:w="1224" w:type="dxa"/>
            <w:shd w:val="clear" w:color="auto" w:fill="FFFFFF" w:themeFill="background1"/>
          </w:tcPr>
          <w:p w14:paraId="061DE986"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44946DAE"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0D40884D"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7FB9AE83" w14:textId="77777777" w:rsidR="00762A29" w:rsidRPr="00CC6ACA" w:rsidRDefault="00762A29" w:rsidP="00EA22F9">
            <w:pPr>
              <w:spacing w:after="0" w:line="276" w:lineRule="auto"/>
              <w:rPr>
                <w:sz w:val="20"/>
                <w:szCs w:val="20"/>
              </w:rPr>
            </w:pPr>
          </w:p>
        </w:tc>
        <w:tc>
          <w:tcPr>
            <w:tcW w:w="828" w:type="dxa"/>
          </w:tcPr>
          <w:p w14:paraId="1168CECE" w14:textId="77777777" w:rsidR="00762A29" w:rsidRPr="00CC6ACA" w:rsidRDefault="00762A29" w:rsidP="00EA22F9">
            <w:pPr>
              <w:spacing w:after="0" w:line="276" w:lineRule="auto"/>
              <w:rPr>
                <w:sz w:val="20"/>
                <w:szCs w:val="20"/>
              </w:rPr>
            </w:pPr>
          </w:p>
        </w:tc>
      </w:tr>
      <w:tr w:rsidR="00CC6ACA" w:rsidRPr="00CC6ACA" w14:paraId="7A966DBE" w14:textId="77777777" w:rsidTr="00153E64">
        <w:trPr>
          <w:jc w:val="center"/>
        </w:trPr>
        <w:tc>
          <w:tcPr>
            <w:tcW w:w="4536" w:type="dxa"/>
          </w:tcPr>
          <w:p w14:paraId="2EED1741" w14:textId="77777777" w:rsidR="00762A29" w:rsidRPr="00CC6ACA" w:rsidRDefault="00762A29" w:rsidP="00EA22F9">
            <w:pPr>
              <w:spacing w:after="0"/>
              <w:rPr>
                <w:sz w:val="20"/>
                <w:szCs w:val="20"/>
              </w:rPr>
            </w:pPr>
            <w:r w:rsidRPr="00CC6ACA">
              <w:rPr>
                <w:sz w:val="20"/>
                <w:szCs w:val="20"/>
              </w:rPr>
              <w:t>Realizzazione delle Carte di Microzonazione Sismica</w:t>
            </w:r>
          </w:p>
        </w:tc>
        <w:tc>
          <w:tcPr>
            <w:tcW w:w="993" w:type="dxa"/>
          </w:tcPr>
          <w:p w14:paraId="58A1DC46" w14:textId="77777777" w:rsidR="00762A29" w:rsidRPr="00CC6ACA" w:rsidRDefault="00762A29" w:rsidP="00EA22F9">
            <w:pPr>
              <w:spacing w:after="0"/>
              <w:jc w:val="center"/>
              <w:rPr>
                <w:sz w:val="20"/>
                <w:szCs w:val="20"/>
              </w:rPr>
            </w:pPr>
          </w:p>
        </w:tc>
        <w:tc>
          <w:tcPr>
            <w:tcW w:w="992" w:type="dxa"/>
          </w:tcPr>
          <w:p w14:paraId="548C4418" w14:textId="77777777" w:rsidR="00762A29" w:rsidRPr="00CC6ACA" w:rsidRDefault="00762A29" w:rsidP="00EA22F9">
            <w:pPr>
              <w:spacing w:after="0"/>
              <w:jc w:val="center"/>
              <w:rPr>
                <w:sz w:val="20"/>
                <w:szCs w:val="20"/>
              </w:rPr>
            </w:pPr>
          </w:p>
        </w:tc>
        <w:tc>
          <w:tcPr>
            <w:tcW w:w="992" w:type="dxa"/>
          </w:tcPr>
          <w:p w14:paraId="241D1E51" w14:textId="77777777" w:rsidR="00762A29" w:rsidRPr="00CC6ACA" w:rsidRDefault="00762A29" w:rsidP="00EA22F9">
            <w:pPr>
              <w:spacing w:after="0"/>
              <w:jc w:val="center"/>
              <w:rPr>
                <w:sz w:val="20"/>
                <w:szCs w:val="20"/>
              </w:rPr>
            </w:pPr>
          </w:p>
        </w:tc>
        <w:tc>
          <w:tcPr>
            <w:tcW w:w="944" w:type="dxa"/>
          </w:tcPr>
          <w:p w14:paraId="0C20DBDA" w14:textId="77777777" w:rsidR="00762A29" w:rsidRPr="00CC6ACA" w:rsidRDefault="00762A29" w:rsidP="00EA22F9">
            <w:pPr>
              <w:spacing w:after="0"/>
              <w:jc w:val="center"/>
              <w:rPr>
                <w:sz w:val="20"/>
                <w:szCs w:val="20"/>
              </w:rPr>
            </w:pPr>
          </w:p>
        </w:tc>
        <w:tc>
          <w:tcPr>
            <w:tcW w:w="820" w:type="dxa"/>
          </w:tcPr>
          <w:p w14:paraId="639EE62D" w14:textId="77777777" w:rsidR="00762A29" w:rsidRPr="00CC6ACA" w:rsidRDefault="00762A29" w:rsidP="00EA22F9">
            <w:pPr>
              <w:spacing w:after="0"/>
              <w:jc w:val="center"/>
              <w:rPr>
                <w:sz w:val="20"/>
                <w:szCs w:val="20"/>
              </w:rPr>
            </w:pPr>
          </w:p>
        </w:tc>
        <w:tc>
          <w:tcPr>
            <w:tcW w:w="954" w:type="dxa"/>
          </w:tcPr>
          <w:p w14:paraId="61F13E16" w14:textId="77777777" w:rsidR="00762A29" w:rsidRPr="00CC6ACA" w:rsidRDefault="00762A29" w:rsidP="00EA22F9">
            <w:pPr>
              <w:spacing w:after="0"/>
              <w:jc w:val="center"/>
              <w:rPr>
                <w:sz w:val="20"/>
                <w:szCs w:val="20"/>
              </w:rPr>
            </w:pPr>
          </w:p>
        </w:tc>
        <w:tc>
          <w:tcPr>
            <w:tcW w:w="845" w:type="dxa"/>
          </w:tcPr>
          <w:p w14:paraId="7EE7C7DA" w14:textId="77777777" w:rsidR="00762A29" w:rsidRPr="00CC6ACA" w:rsidRDefault="00762A29" w:rsidP="00EA22F9">
            <w:pPr>
              <w:spacing w:after="0"/>
              <w:jc w:val="center"/>
              <w:rPr>
                <w:sz w:val="20"/>
                <w:szCs w:val="20"/>
              </w:rPr>
            </w:pPr>
          </w:p>
        </w:tc>
        <w:tc>
          <w:tcPr>
            <w:tcW w:w="1224" w:type="dxa"/>
          </w:tcPr>
          <w:p w14:paraId="1CEAEBAF" w14:textId="77777777" w:rsidR="00762A29" w:rsidRPr="00CC6ACA" w:rsidRDefault="00762A29" w:rsidP="00EA22F9">
            <w:pPr>
              <w:spacing w:after="0"/>
              <w:jc w:val="center"/>
              <w:rPr>
                <w:sz w:val="20"/>
                <w:szCs w:val="20"/>
              </w:rPr>
            </w:pPr>
          </w:p>
        </w:tc>
        <w:tc>
          <w:tcPr>
            <w:tcW w:w="828" w:type="dxa"/>
            <w:shd w:val="clear" w:color="auto" w:fill="FFFFFF" w:themeFill="background1"/>
          </w:tcPr>
          <w:p w14:paraId="7B606B38" w14:textId="77777777" w:rsidR="00762A29" w:rsidRPr="00CC6ACA" w:rsidRDefault="00762A29" w:rsidP="00EA22F9">
            <w:pPr>
              <w:spacing w:after="0"/>
              <w:jc w:val="center"/>
              <w:rPr>
                <w:sz w:val="20"/>
                <w:szCs w:val="20"/>
              </w:rPr>
            </w:pPr>
          </w:p>
        </w:tc>
        <w:tc>
          <w:tcPr>
            <w:tcW w:w="828" w:type="dxa"/>
            <w:shd w:val="clear" w:color="auto" w:fill="FFFFFF" w:themeFill="background1"/>
          </w:tcPr>
          <w:p w14:paraId="3CFE2A98"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7DB4EEBE" w14:textId="77777777" w:rsidR="00762A29" w:rsidRPr="00CC6ACA" w:rsidRDefault="00762A29" w:rsidP="00EA22F9">
            <w:pPr>
              <w:spacing w:after="0" w:line="276" w:lineRule="auto"/>
              <w:rPr>
                <w:sz w:val="20"/>
                <w:szCs w:val="20"/>
              </w:rPr>
            </w:pPr>
          </w:p>
        </w:tc>
        <w:tc>
          <w:tcPr>
            <w:tcW w:w="828" w:type="dxa"/>
            <w:shd w:val="clear" w:color="auto" w:fill="D9D9D9" w:themeFill="background1" w:themeFillShade="D9"/>
          </w:tcPr>
          <w:p w14:paraId="2137F3F3" w14:textId="77777777" w:rsidR="00762A29" w:rsidRPr="00CC6ACA" w:rsidRDefault="00762A29" w:rsidP="00EA22F9">
            <w:pPr>
              <w:spacing w:after="0" w:line="276" w:lineRule="auto"/>
              <w:rPr>
                <w:sz w:val="20"/>
                <w:szCs w:val="20"/>
              </w:rPr>
            </w:pPr>
          </w:p>
        </w:tc>
      </w:tr>
      <w:tr w:rsidR="00CC6ACA" w:rsidRPr="00CC6ACA" w14:paraId="267A234E" w14:textId="77777777" w:rsidTr="00153E64">
        <w:trPr>
          <w:jc w:val="center"/>
        </w:trPr>
        <w:tc>
          <w:tcPr>
            <w:tcW w:w="4536" w:type="dxa"/>
          </w:tcPr>
          <w:p w14:paraId="77FD0243" w14:textId="77777777" w:rsidR="00762A29" w:rsidRPr="00CC6ACA" w:rsidRDefault="00762A29" w:rsidP="00EA22F9">
            <w:pPr>
              <w:spacing w:after="0"/>
              <w:rPr>
                <w:sz w:val="20"/>
                <w:szCs w:val="20"/>
              </w:rPr>
            </w:pPr>
            <w:r w:rsidRPr="00CC6ACA">
              <w:rPr>
                <w:sz w:val="20"/>
                <w:szCs w:val="20"/>
              </w:rPr>
              <w:t>Redazione della relazione illustrativa</w:t>
            </w:r>
          </w:p>
        </w:tc>
        <w:tc>
          <w:tcPr>
            <w:tcW w:w="993" w:type="dxa"/>
          </w:tcPr>
          <w:p w14:paraId="404CC870" w14:textId="77777777" w:rsidR="00762A29" w:rsidRPr="00CC6ACA" w:rsidRDefault="00762A29" w:rsidP="00EA22F9">
            <w:pPr>
              <w:spacing w:after="0"/>
              <w:jc w:val="center"/>
              <w:rPr>
                <w:sz w:val="20"/>
                <w:szCs w:val="20"/>
              </w:rPr>
            </w:pPr>
          </w:p>
        </w:tc>
        <w:tc>
          <w:tcPr>
            <w:tcW w:w="992" w:type="dxa"/>
          </w:tcPr>
          <w:p w14:paraId="5CB25384" w14:textId="77777777" w:rsidR="00762A29" w:rsidRPr="00CC6ACA" w:rsidRDefault="00762A29" w:rsidP="00EA22F9">
            <w:pPr>
              <w:spacing w:after="0"/>
              <w:jc w:val="center"/>
              <w:rPr>
                <w:sz w:val="20"/>
                <w:szCs w:val="20"/>
              </w:rPr>
            </w:pPr>
          </w:p>
        </w:tc>
        <w:tc>
          <w:tcPr>
            <w:tcW w:w="992" w:type="dxa"/>
          </w:tcPr>
          <w:p w14:paraId="403ADF32" w14:textId="77777777" w:rsidR="00762A29" w:rsidRPr="00CC6ACA" w:rsidRDefault="00762A29" w:rsidP="00EA22F9">
            <w:pPr>
              <w:spacing w:after="0"/>
              <w:jc w:val="center"/>
              <w:rPr>
                <w:sz w:val="20"/>
                <w:szCs w:val="20"/>
              </w:rPr>
            </w:pPr>
          </w:p>
        </w:tc>
        <w:tc>
          <w:tcPr>
            <w:tcW w:w="944" w:type="dxa"/>
            <w:shd w:val="clear" w:color="auto" w:fill="D9D9D9" w:themeFill="background1" w:themeFillShade="D9"/>
          </w:tcPr>
          <w:p w14:paraId="2D915EC0" w14:textId="77777777" w:rsidR="00762A29" w:rsidRPr="00CC6ACA" w:rsidRDefault="00762A29" w:rsidP="00EA22F9">
            <w:pPr>
              <w:spacing w:after="0"/>
              <w:jc w:val="center"/>
              <w:rPr>
                <w:sz w:val="20"/>
                <w:szCs w:val="20"/>
              </w:rPr>
            </w:pPr>
          </w:p>
        </w:tc>
        <w:tc>
          <w:tcPr>
            <w:tcW w:w="820" w:type="dxa"/>
            <w:shd w:val="clear" w:color="auto" w:fill="D9D9D9" w:themeFill="background1" w:themeFillShade="D9"/>
          </w:tcPr>
          <w:p w14:paraId="3CECC092" w14:textId="77777777" w:rsidR="00762A29" w:rsidRPr="00CC6ACA" w:rsidRDefault="00762A29" w:rsidP="00EA22F9">
            <w:pPr>
              <w:spacing w:after="0"/>
              <w:jc w:val="center"/>
              <w:rPr>
                <w:sz w:val="20"/>
                <w:szCs w:val="20"/>
              </w:rPr>
            </w:pPr>
          </w:p>
        </w:tc>
        <w:tc>
          <w:tcPr>
            <w:tcW w:w="954" w:type="dxa"/>
            <w:shd w:val="clear" w:color="auto" w:fill="D9D9D9" w:themeFill="background1" w:themeFillShade="D9"/>
          </w:tcPr>
          <w:p w14:paraId="61A46C31" w14:textId="77777777" w:rsidR="00762A29" w:rsidRPr="00CC6ACA" w:rsidRDefault="00762A29" w:rsidP="00EA22F9">
            <w:pPr>
              <w:spacing w:after="0"/>
              <w:jc w:val="center"/>
              <w:rPr>
                <w:sz w:val="20"/>
                <w:szCs w:val="20"/>
              </w:rPr>
            </w:pPr>
          </w:p>
        </w:tc>
        <w:tc>
          <w:tcPr>
            <w:tcW w:w="845" w:type="dxa"/>
            <w:shd w:val="clear" w:color="auto" w:fill="D9D9D9" w:themeFill="background1" w:themeFillShade="D9"/>
          </w:tcPr>
          <w:p w14:paraId="7BD774C1" w14:textId="77777777" w:rsidR="00762A29" w:rsidRPr="00CC6ACA" w:rsidRDefault="00762A29" w:rsidP="00EA22F9">
            <w:pPr>
              <w:spacing w:after="0"/>
              <w:jc w:val="center"/>
              <w:rPr>
                <w:sz w:val="20"/>
                <w:szCs w:val="20"/>
              </w:rPr>
            </w:pPr>
          </w:p>
        </w:tc>
        <w:tc>
          <w:tcPr>
            <w:tcW w:w="1224" w:type="dxa"/>
            <w:shd w:val="clear" w:color="auto" w:fill="D9D9D9" w:themeFill="background1" w:themeFillShade="D9"/>
          </w:tcPr>
          <w:p w14:paraId="13A711F8"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0B690255"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568B22F0"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32C82389" w14:textId="77777777" w:rsidR="00762A29" w:rsidRPr="00CC6ACA" w:rsidRDefault="00762A29" w:rsidP="00EA22F9">
            <w:pPr>
              <w:spacing w:after="0" w:line="276" w:lineRule="auto"/>
              <w:rPr>
                <w:sz w:val="20"/>
                <w:szCs w:val="20"/>
              </w:rPr>
            </w:pPr>
          </w:p>
        </w:tc>
        <w:tc>
          <w:tcPr>
            <w:tcW w:w="828" w:type="dxa"/>
            <w:shd w:val="clear" w:color="auto" w:fill="D9D9D9" w:themeFill="background1" w:themeFillShade="D9"/>
          </w:tcPr>
          <w:p w14:paraId="43080A26" w14:textId="77777777" w:rsidR="00762A29" w:rsidRPr="00CC6ACA" w:rsidRDefault="00762A29" w:rsidP="00EA22F9">
            <w:pPr>
              <w:spacing w:after="0" w:line="276" w:lineRule="auto"/>
              <w:rPr>
                <w:sz w:val="20"/>
                <w:szCs w:val="20"/>
              </w:rPr>
            </w:pPr>
          </w:p>
        </w:tc>
      </w:tr>
      <w:tr w:rsidR="00CC6ACA" w:rsidRPr="00CC6ACA" w14:paraId="11255952" w14:textId="77777777" w:rsidTr="006A127B">
        <w:trPr>
          <w:trHeight w:val="46"/>
          <w:jc w:val="center"/>
        </w:trPr>
        <w:tc>
          <w:tcPr>
            <w:tcW w:w="4536" w:type="dxa"/>
            <w:tcBorders>
              <w:bottom w:val="single" w:sz="4" w:space="0" w:color="auto"/>
            </w:tcBorders>
          </w:tcPr>
          <w:p w14:paraId="36A93676" w14:textId="77777777" w:rsidR="00762A29" w:rsidRPr="00CC6ACA" w:rsidRDefault="00762A29" w:rsidP="00EA22F9">
            <w:pPr>
              <w:spacing w:after="0"/>
              <w:rPr>
                <w:sz w:val="20"/>
                <w:szCs w:val="20"/>
              </w:rPr>
            </w:pPr>
            <w:r w:rsidRPr="00CC6ACA">
              <w:rPr>
                <w:sz w:val="20"/>
                <w:szCs w:val="20"/>
              </w:rPr>
              <w:t>Partecipazione alle riunioni di coordinamento</w:t>
            </w:r>
          </w:p>
        </w:tc>
        <w:tc>
          <w:tcPr>
            <w:tcW w:w="993" w:type="dxa"/>
            <w:tcBorders>
              <w:bottom w:val="single" w:sz="4" w:space="0" w:color="auto"/>
            </w:tcBorders>
            <w:shd w:val="clear" w:color="auto" w:fill="D9D9D9" w:themeFill="background1" w:themeFillShade="D9"/>
          </w:tcPr>
          <w:p w14:paraId="149B1F84" w14:textId="77777777" w:rsidR="00762A29" w:rsidRPr="00CC6ACA" w:rsidRDefault="00762A29" w:rsidP="00EA22F9">
            <w:pPr>
              <w:spacing w:after="0"/>
              <w:jc w:val="center"/>
              <w:rPr>
                <w:sz w:val="20"/>
                <w:szCs w:val="20"/>
              </w:rPr>
            </w:pPr>
          </w:p>
        </w:tc>
        <w:tc>
          <w:tcPr>
            <w:tcW w:w="992" w:type="dxa"/>
            <w:tcBorders>
              <w:bottom w:val="single" w:sz="4" w:space="0" w:color="auto"/>
            </w:tcBorders>
            <w:shd w:val="clear" w:color="auto" w:fill="auto"/>
          </w:tcPr>
          <w:p w14:paraId="1E14CBD8" w14:textId="77777777" w:rsidR="00762A29" w:rsidRPr="00CC6ACA" w:rsidRDefault="00762A29" w:rsidP="00EA22F9">
            <w:pPr>
              <w:spacing w:after="0"/>
              <w:jc w:val="center"/>
              <w:rPr>
                <w:sz w:val="20"/>
                <w:szCs w:val="20"/>
              </w:rPr>
            </w:pPr>
          </w:p>
        </w:tc>
        <w:tc>
          <w:tcPr>
            <w:tcW w:w="992" w:type="dxa"/>
            <w:tcBorders>
              <w:bottom w:val="single" w:sz="4" w:space="0" w:color="auto"/>
            </w:tcBorders>
          </w:tcPr>
          <w:p w14:paraId="1EDCDC7C" w14:textId="77777777" w:rsidR="00762A29" w:rsidRPr="00CC6ACA" w:rsidRDefault="00762A29" w:rsidP="00EA22F9">
            <w:pPr>
              <w:spacing w:after="0"/>
              <w:jc w:val="center"/>
              <w:rPr>
                <w:sz w:val="20"/>
                <w:szCs w:val="20"/>
              </w:rPr>
            </w:pPr>
          </w:p>
        </w:tc>
        <w:tc>
          <w:tcPr>
            <w:tcW w:w="944" w:type="dxa"/>
            <w:tcBorders>
              <w:bottom w:val="single" w:sz="4" w:space="0" w:color="auto"/>
            </w:tcBorders>
            <w:shd w:val="clear" w:color="auto" w:fill="FFFFFF" w:themeFill="background1"/>
          </w:tcPr>
          <w:p w14:paraId="1A0351AC" w14:textId="77777777" w:rsidR="00762A29" w:rsidRPr="00CC6ACA" w:rsidRDefault="00762A29" w:rsidP="00EA22F9">
            <w:pPr>
              <w:spacing w:after="0"/>
              <w:jc w:val="center"/>
              <w:rPr>
                <w:sz w:val="20"/>
                <w:szCs w:val="20"/>
              </w:rPr>
            </w:pPr>
          </w:p>
        </w:tc>
        <w:tc>
          <w:tcPr>
            <w:tcW w:w="820" w:type="dxa"/>
            <w:tcBorders>
              <w:bottom w:val="single" w:sz="4" w:space="0" w:color="auto"/>
            </w:tcBorders>
            <w:shd w:val="clear" w:color="auto" w:fill="auto"/>
          </w:tcPr>
          <w:p w14:paraId="0C60F80C" w14:textId="77777777" w:rsidR="00762A29" w:rsidRPr="00CC6ACA" w:rsidRDefault="00762A29" w:rsidP="00EA22F9">
            <w:pPr>
              <w:spacing w:after="0"/>
              <w:jc w:val="center"/>
              <w:rPr>
                <w:sz w:val="20"/>
                <w:szCs w:val="20"/>
              </w:rPr>
            </w:pPr>
          </w:p>
        </w:tc>
        <w:tc>
          <w:tcPr>
            <w:tcW w:w="954" w:type="dxa"/>
            <w:tcBorders>
              <w:bottom w:val="single" w:sz="4" w:space="0" w:color="auto"/>
            </w:tcBorders>
            <w:shd w:val="clear" w:color="auto" w:fill="auto"/>
          </w:tcPr>
          <w:p w14:paraId="7F189F8D" w14:textId="77777777" w:rsidR="00762A29" w:rsidRPr="00CC6ACA" w:rsidRDefault="00762A29" w:rsidP="00EA22F9">
            <w:pPr>
              <w:spacing w:after="0"/>
              <w:jc w:val="center"/>
              <w:rPr>
                <w:sz w:val="20"/>
                <w:szCs w:val="20"/>
              </w:rPr>
            </w:pPr>
          </w:p>
        </w:tc>
        <w:tc>
          <w:tcPr>
            <w:tcW w:w="845" w:type="dxa"/>
            <w:tcBorders>
              <w:bottom w:val="single" w:sz="4" w:space="0" w:color="auto"/>
            </w:tcBorders>
            <w:shd w:val="clear" w:color="auto" w:fill="D9D9D9" w:themeFill="background1" w:themeFillShade="D9"/>
          </w:tcPr>
          <w:p w14:paraId="6EADD117" w14:textId="77777777" w:rsidR="00762A29" w:rsidRPr="00CC6ACA" w:rsidRDefault="00762A29" w:rsidP="00EA22F9">
            <w:pPr>
              <w:spacing w:after="0"/>
              <w:jc w:val="center"/>
              <w:rPr>
                <w:sz w:val="20"/>
                <w:szCs w:val="20"/>
              </w:rPr>
            </w:pPr>
          </w:p>
        </w:tc>
        <w:tc>
          <w:tcPr>
            <w:tcW w:w="1224" w:type="dxa"/>
            <w:tcBorders>
              <w:bottom w:val="single" w:sz="4" w:space="0" w:color="auto"/>
            </w:tcBorders>
          </w:tcPr>
          <w:p w14:paraId="1D3B5CB7" w14:textId="77777777" w:rsidR="00762A29" w:rsidRPr="00CC6ACA" w:rsidRDefault="00762A29" w:rsidP="00EA22F9">
            <w:pPr>
              <w:spacing w:after="0"/>
              <w:jc w:val="center"/>
              <w:rPr>
                <w:sz w:val="20"/>
                <w:szCs w:val="20"/>
              </w:rPr>
            </w:pPr>
          </w:p>
        </w:tc>
        <w:tc>
          <w:tcPr>
            <w:tcW w:w="828" w:type="dxa"/>
            <w:tcBorders>
              <w:bottom w:val="single" w:sz="4" w:space="0" w:color="auto"/>
            </w:tcBorders>
            <w:shd w:val="clear" w:color="auto" w:fill="auto"/>
          </w:tcPr>
          <w:p w14:paraId="0960879D" w14:textId="77777777" w:rsidR="00762A29" w:rsidRPr="00CC6ACA" w:rsidRDefault="00762A29" w:rsidP="00EA22F9">
            <w:pPr>
              <w:spacing w:after="0"/>
              <w:jc w:val="center"/>
              <w:rPr>
                <w:sz w:val="20"/>
                <w:szCs w:val="20"/>
              </w:rPr>
            </w:pPr>
          </w:p>
        </w:tc>
        <w:tc>
          <w:tcPr>
            <w:tcW w:w="828" w:type="dxa"/>
            <w:tcBorders>
              <w:bottom w:val="single" w:sz="4" w:space="0" w:color="auto"/>
            </w:tcBorders>
            <w:shd w:val="clear" w:color="auto" w:fill="FFFFFF" w:themeFill="background1"/>
          </w:tcPr>
          <w:p w14:paraId="573F4F2D" w14:textId="77777777" w:rsidR="00762A29" w:rsidRPr="00CC6ACA" w:rsidRDefault="00762A29" w:rsidP="00EA22F9">
            <w:pPr>
              <w:spacing w:after="0"/>
              <w:jc w:val="center"/>
              <w:rPr>
                <w:sz w:val="20"/>
                <w:szCs w:val="20"/>
              </w:rPr>
            </w:pPr>
          </w:p>
        </w:tc>
        <w:tc>
          <w:tcPr>
            <w:tcW w:w="828" w:type="dxa"/>
            <w:shd w:val="clear" w:color="auto" w:fill="D9D9D9" w:themeFill="background1" w:themeFillShade="D9"/>
          </w:tcPr>
          <w:p w14:paraId="32CD5394" w14:textId="77777777" w:rsidR="00762A29" w:rsidRPr="00CC6ACA" w:rsidRDefault="00762A29" w:rsidP="00EA22F9">
            <w:pPr>
              <w:spacing w:after="0" w:line="276" w:lineRule="auto"/>
              <w:rPr>
                <w:sz w:val="20"/>
                <w:szCs w:val="20"/>
              </w:rPr>
            </w:pPr>
          </w:p>
        </w:tc>
        <w:tc>
          <w:tcPr>
            <w:tcW w:w="828" w:type="dxa"/>
          </w:tcPr>
          <w:p w14:paraId="0A0C33A1" w14:textId="77777777" w:rsidR="00762A29" w:rsidRPr="00CC6ACA" w:rsidRDefault="00762A29" w:rsidP="00EA22F9">
            <w:pPr>
              <w:spacing w:after="0" w:line="276" w:lineRule="auto"/>
              <w:rPr>
                <w:sz w:val="20"/>
                <w:szCs w:val="20"/>
              </w:rPr>
            </w:pPr>
          </w:p>
        </w:tc>
      </w:tr>
    </w:tbl>
    <w:p w14:paraId="60E04A3F" w14:textId="77777777" w:rsidR="00075F65" w:rsidRPr="00CC6ACA" w:rsidRDefault="00075F65" w:rsidP="00075F65">
      <w:pPr>
        <w:pStyle w:val="Paragrafoelenco"/>
        <w:spacing w:before="120"/>
        <w:ind w:left="0"/>
        <w:jc w:val="both"/>
      </w:pPr>
      <w:r w:rsidRPr="00CC6ACA">
        <w:t>* I giorni sono da intendersi a partire dalla data di sottoscrizione del presente disciplinare. La durata complessiva delle attività è 1</w:t>
      </w:r>
      <w:r w:rsidR="00F23617" w:rsidRPr="00CC6ACA">
        <w:t>8</w:t>
      </w:r>
      <w:r w:rsidRPr="00CC6ACA">
        <w:t>0 giorni.</w:t>
      </w:r>
    </w:p>
    <w:p w14:paraId="178D3A37" w14:textId="77777777" w:rsidR="00075F65" w:rsidRPr="00CC6ACA" w:rsidRDefault="00075F65" w:rsidP="00075F65">
      <w:pPr>
        <w:spacing w:after="0"/>
        <w:jc w:val="both"/>
        <w:sectPr w:rsidR="00075F65" w:rsidRPr="00CC6ACA" w:rsidSect="00991A71">
          <w:pgSz w:w="16838" w:h="11906" w:orient="landscape"/>
          <w:pgMar w:top="1702" w:right="1417" w:bottom="1134" w:left="1134" w:header="708" w:footer="708" w:gutter="0"/>
          <w:cols w:space="708"/>
          <w:docGrid w:linePitch="360"/>
        </w:sectPr>
      </w:pPr>
    </w:p>
    <w:p w14:paraId="1FFF15F7" w14:textId="77777777" w:rsidR="008B384C" w:rsidRPr="00CC6ACA" w:rsidRDefault="008B384C" w:rsidP="008B384C">
      <w:pPr>
        <w:spacing w:after="0"/>
        <w:jc w:val="both"/>
        <w:rPr>
          <w:rFonts w:cstheme="minorHAnsi"/>
          <w:b/>
        </w:rPr>
      </w:pPr>
      <w:r w:rsidRPr="00CC6ACA">
        <w:rPr>
          <w:rFonts w:cstheme="minorHAnsi"/>
          <w:b/>
        </w:rPr>
        <w:lastRenderedPageBreak/>
        <w:t>Allegato 1 (Indice della relazione illustrativa dello studio di microzonazione sismica di livello 2/3)</w:t>
      </w:r>
    </w:p>
    <w:p w14:paraId="17FA713C" w14:textId="77777777" w:rsidR="008B384C" w:rsidRPr="00CC6ACA" w:rsidRDefault="008B384C" w:rsidP="008B384C">
      <w:pPr>
        <w:spacing w:after="0"/>
        <w:jc w:val="both"/>
        <w:rPr>
          <w:rFonts w:cstheme="minorHAnsi"/>
        </w:rPr>
      </w:pPr>
    </w:p>
    <w:p w14:paraId="7DD6CFBA" w14:textId="77777777" w:rsidR="008B384C" w:rsidRPr="00CC6ACA" w:rsidRDefault="008B384C" w:rsidP="008B384C">
      <w:pPr>
        <w:spacing w:after="0"/>
        <w:jc w:val="both"/>
        <w:rPr>
          <w:rFonts w:cstheme="minorHAnsi"/>
          <w:i/>
        </w:rPr>
      </w:pPr>
      <w:r w:rsidRPr="00CC6ACA">
        <w:rPr>
          <w:rFonts w:cstheme="minorHAnsi"/>
          <w:i/>
        </w:rPr>
        <w:t>1. Introduzione</w:t>
      </w:r>
    </w:p>
    <w:p w14:paraId="34EC16F8" w14:textId="77777777" w:rsidR="00046CCF" w:rsidRPr="00CC6ACA" w:rsidRDefault="00046CCF" w:rsidP="008B384C">
      <w:pPr>
        <w:spacing w:after="0"/>
        <w:jc w:val="both"/>
        <w:rPr>
          <w:rFonts w:cstheme="minorHAnsi"/>
        </w:rPr>
      </w:pPr>
    </w:p>
    <w:p w14:paraId="603A006F" w14:textId="77777777" w:rsidR="008B384C" w:rsidRPr="00CC6ACA" w:rsidRDefault="008B384C" w:rsidP="008B384C">
      <w:pPr>
        <w:spacing w:after="0"/>
        <w:jc w:val="both"/>
        <w:rPr>
          <w:rFonts w:cstheme="minorHAnsi"/>
        </w:rPr>
      </w:pPr>
      <w:r w:rsidRPr="00CC6ACA">
        <w:rPr>
          <w:rFonts w:cstheme="minorHAnsi"/>
        </w:rPr>
        <w:t>1.1. Finalità degli studi</w:t>
      </w:r>
    </w:p>
    <w:p w14:paraId="2C2F8216" w14:textId="77777777" w:rsidR="008B384C" w:rsidRPr="00CC6ACA" w:rsidRDefault="008B384C" w:rsidP="008B384C">
      <w:pPr>
        <w:spacing w:after="0"/>
        <w:jc w:val="both"/>
        <w:rPr>
          <w:rFonts w:cstheme="minorHAnsi"/>
        </w:rPr>
      </w:pPr>
      <w:r w:rsidRPr="00CC6ACA">
        <w:rPr>
          <w:rFonts w:cstheme="minorHAnsi"/>
        </w:rPr>
        <w:t>Riferimenti normativi e composizione del team di lavoro.</w:t>
      </w:r>
    </w:p>
    <w:p w14:paraId="359E3EB7" w14:textId="77777777" w:rsidR="008B384C" w:rsidRPr="00CC6ACA" w:rsidRDefault="008B384C" w:rsidP="008B384C">
      <w:pPr>
        <w:spacing w:after="0"/>
        <w:jc w:val="both"/>
        <w:rPr>
          <w:rFonts w:cstheme="minorHAnsi"/>
        </w:rPr>
      </w:pPr>
    </w:p>
    <w:p w14:paraId="12D8B937" w14:textId="77777777" w:rsidR="008B384C" w:rsidRPr="00CC6ACA" w:rsidRDefault="008B384C" w:rsidP="008B384C">
      <w:pPr>
        <w:spacing w:after="0"/>
        <w:jc w:val="both"/>
        <w:rPr>
          <w:rFonts w:cstheme="minorHAnsi"/>
        </w:rPr>
      </w:pPr>
      <w:r w:rsidRPr="00CC6ACA">
        <w:rPr>
          <w:rFonts w:cstheme="minorHAnsi"/>
        </w:rPr>
        <w:t>1.2. Descrizione generale dell’area comunale</w:t>
      </w:r>
    </w:p>
    <w:p w14:paraId="1F463871" w14:textId="77777777" w:rsidR="008B384C" w:rsidRPr="00CC6ACA" w:rsidRDefault="008B384C" w:rsidP="008B384C">
      <w:pPr>
        <w:spacing w:after="0"/>
        <w:jc w:val="both"/>
        <w:rPr>
          <w:rFonts w:cstheme="minorHAnsi"/>
        </w:rPr>
      </w:pPr>
      <w:r w:rsidRPr="00CC6ACA">
        <w:rPr>
          <w:rFonts w:cstheme="minorHAnsi"/>
        </w:rPr>
        <w:t>Inquadramento geografico e altimetrico</w:t>
      </w:r>
    </w:p>
    <w:p w14:paraId="63F00923" w14:textId="77777777" w:rsidR="008B384C" w:rsidRPr="00CC6ACA" w:rsidRDefault="008B384C" w:rsidP="008B384C">
      <w:pPr>
        <w:spacing w:after="0"/>
        <w:jc w:val="both"/>
        <w:rPr>
          <w:rFonts w:cstheme="minorHAnsi"/>
        </w:rPr>
      </w:pPr>
    </w:p>
    <w:p w14:paraId="0A9B6580" w14:textId="77777777" w:rsidR="008B384C" w:rsidRPr="00CC6ACA" w:rsidRDefault="008B384C" w:rsidP="008B384C">
      <w:pPr>
        <w:spacing w:after="0"/>
        <w:jc w:val="both"/>
        <w:rPr>
          <w:rFonts w:cstheme="minorHAnsi"/>
        </w:rPr>
      </w:pPr>
      <w:r w:rsidRPr="00CC6ACA">
        <w:rPr>
          <w:rFonts w:cstheme="minorHAnsi"/>
        </w:rPr>
        <w:t>1.3. Definizione dei documenti di base utilizzati nello studio</w:t>
      </w:r>
    </w:p>
    <w:p w14:paraId="0691948E" w14:textId="77777777" w:rsidR="008B384C" w:rsidRPr="00CC6ACA" w:rsidRDefault="008B384C" w:rsidP="008B384C">
      <w:pPr>
        <w:spacing w:after="0"/>
        <w:jc w:val="both"/>
        <w:rPr>
          <w:rFonts w:cstheme="minorHAnsi"/>
        </w:rPr>
      </w:pPr>
      <w:r w:rsidRPr="00CC6ACA">
        <w:rPr>
          <w:rFonts w:cstheme="minorHAnsi"/>
        </w:rPr>
        <w:t>Cartografie, foto aeree, immagini da satellite, archivi consultati (fonti di acquisizione di dati geognostici), studi di riferimento (PSC, PPC, ecc.), articoli scientifici.</w:t>
      </w:r>
    </w:p>
    <w:p w14:paraId="19FCAFC7" w14:textId="77777777" w:rsidR="008B384C" w:rsidRPr="00CC6ACA" w:rsidRDefault="008B384C" w:rsidP="008B384C">
      <w:pPr>
        <w:spacing w:after="0"/>
        <w:jc w:val="both"/>
        <w:rPr>
          <w:rFonts w:cstheme="minorHAnsi"/>
        </w:rPr>
      </w:pPr>
    </w:p>
    <w:p w14:paraId="0DF034DF" w14:textId="77777777" w:rsidR="008B384C" w:rsidRPr="00CC6ACA" w:rsidRDefault="008B384C" w:rsidP="008B384C">
      <w:pPr>
        <w:spacing w:after="0"/>
        <w:jc w:val="both"/>
        <w:rPr>
          <w:rFonts w:cstheme="minorHAnsi"/>
        </w:rPr>
      </w:pPr>
      <w:r w:rsidRPr="00CC6ACA">
        <w:rPr>
          <w:rFonts w:cstheme="minorHAnsi"/>
        </w:rPr>
        <w:t>1.4. Aree da sottoporre agli studi di MS</w:t>
      </w:r>
    </w:p>
    <w:p w14:paraId="5328FEBD" w14:textId="77777777" w:rsidR="008B384C" w:rsidRPr="00CC6ACA" w:rsidRDefault="008B384C" w:rsidP="008B384C">
      <w:pPr>
        <w:spacing w:after="0"/>
        <w:jc w:val="both"/>
        <w:rPr>
          <w:rFonts w:cstheme="minorHAnsi"/>
        </w:rPr>
      </w:pPr>
      <w:r w:rsidRPr="00CC6ACA">
        <w:rPr>
          <w:rFonts w:cstheme="minorHAnsi"/>
        </w:rPr>
        <w:t>Descrizione e delimitazione delle aree interessate dallo studio di MS.</w:t>
      </w:r>
    </w:p>
    <w:p w14:paraId="66C18D8C" w14:textId="77777777" w:rsidR="008B384C" w:rsidRPr="00CC6ACA" w:rsidRDefault="008B384C" w:rsidP="008B384C">
      <w:pPr>
        <w:spacing w:after="0"/>
        <w:jc w:val="both"/>
        <w:rPr>
          <w:rFonts w:cstheme="minorHAnsi"/>
        </w:rPr>
      </w:pPr>
    </w:p>
    <w:p w14:paraId="2A601B7D" w14:textId="77777777" w:rsidR="008B384C" w:rsidRPr="00CC6ACA" w:rsidRDefault="008B384C" w:rsidP="008B384C">
      <w:pPr>
        <w:spacing w:after="0"/>
        <w:jc w:val="both"/>
        <w:rPr>
          <w:rFonts w:cstheme="minorHAnsi"/>
          <w:i/>
        </w:rPr>
      </w:pPr>
      <w:r w:rsidRPr="00CC6ACA">
        <w:rPr>
          <w:rFonts w:cstheme="minorHAnsi"/>
          <w:i/>
        </w:rPr>
        <w:t>2. Definizione della pericolosità di base e degli eventi di riferimento</w:t>
      </w:r>
    </w:p>
    <w:p w14:paraId="440B45E7" w14:textId="77777777" w:rsidR="00046CCF" w:rsidRPr="00CC6ACA" w:rsidRDefault="00046CCF" w:rsidP="008B384C">
      <w:pPr>
        <w:spacing w:after="0"/>
        <w:jc w:val="both"/>
        <w:rPr>
          <w:rFonts w:cstheme="minorHAnsi"/>
        </w:rPr>
      </w:pPr>
    </w:p>
    <w:p w14:paraId="7F85914C" w14:textId="77777777" w:rsidR="008B384C" w:rsidRPr="00CC6ACA" w:rsidRDefault="008B384C" w:rsidP="008B384C">
      <w:pPr>
        <w:spacing w:after="0"/>
        <w:jc w:val="both"/>
        <w:rPr>
          <w:rFonts w:cstheme="minorHAnsi"/>
        </w:rPr>
      </w:pPr>
      <w:r w:rsidRPr="00CC6ACA">
        <w:rPr>
          <w:rFonts w:cstheme="minorHAnsi"/>
        </w:rPr>
        <w:t>2.1. Sismicità storica dell’area di studio</w:t>
      </w:r>
    </w:p>
    <w:p w14:paraId="4223FD68" w14:textId="77777777" w:rsidR="008B384C" w:rsidRPr="00CC6ACA" w:rsidRDefault="008B384C" w:rsidP="008B384C">
      <w:pPr>
        <w:spacing w:after="0"/>
        <w:jc w:val="both"/>
        <w:rPr>
          <w:rFonts w:cstheme="minorHAnsi"/>
        </w:rPr>
      </w:pPr>
      <w:r w:rsidRPr="00CC6ACA">
        <w:rPr>
          <w:rFonts w:cstheme="minorHAnsi"/>
        </w:rPr>
        <w:t>Definizione del catalogo di sito per il Comune studiato (Database Macrosismico Italiano 2015</w:t>
      </w:r>
    </w:p>
    <w:p w14:paraId="79BD4EBA" w14:textId="77777777" w:rsidR="008B384C" w:rsidRPr="00CC6ACA" w:rsidRDefault="008B384C" w:rsidP="008B384C">
      <w:pPr>
        <w:spacing w:after="0"/>
        <w:jc w:val="both"/>
        <w:rPr>
          <w:rFonts w:cstheme="minorHAnsi"/>
        </w:rPr>
      </w:pPr>
      <w:r w:rsidRPr="00CC6ACA">
        <w:rPr>
          <w:rFonts w:cstheme="minorHAnsi"/>
        </w:rPr>
        <w:t>INGV: https://emidius.mi.ingv.it/CPTI15-DBMI15), eventualmente integrato da notizie inedite derivanti da fonti storiche locali relative a risentimenti di terremoti storici noti e/o sconosciuti alla letteratura sismologica. Descrizione sintetica dei maggiori terremoti risentiti nell’area di studio.</w:t>
      </w:r>
    </w:p>
    <w:p w14:paraId="6E822E81" w14:textId="77777777" w:rsidR="008B384C" w:rsidRPr="00CC6ACA" w:rsidRDefault="008B384C" w:rsidP="008B384C">
      <w:pPr>
        <w:spacing w:after="0"/>
        <w:jc w:val="both"/>
        <w:rPr>
          <w:rFonts w:cstheme="minorHAnsi"/>
        </w:rPr>
      </w:pPr>
    </w:p>
    <w:p w14:paraId="133EEB4D" w14:textId="77777777" w:rsidR="008B384C" w:rsidRPr="00CC6ACA" w:rsidRDefault="008B384C" w:rsidP="008B384C">
      <w:pPr>
        <w:spacing w:after="0"/>
        <w:jc w:val="both"/>
        <w:rPr>
          <w:rFonts w:cstheme="minorHAnsi"/>
        </w:rPr>
      </w:pPr>
      <w:r w:rsidRPr="00CC6ACA">
        <w:rPr>
          <w:rFonts w:cstheme="minorHAnsi"/>
        </w:rPr>
        <w:t>2.2. Sismicità recente dell’area di studio</w:t>
      </w:r>
    </w:p>
    <w:p w14:paraId="6FD593C1" w14:textId="77777777" w:rsidR="008B384C" w:rsidRPr="00CC6ACA" w:rsidRDefault="008B384C" w:rsidP="008B384C">
      <w:pPr>
        <w:spacing w:after="0"/>
        <w:jc w:val="both"/>
        <w:rPr>
          <w:rFonts w:cstheme="minorHAnsi"/>
        </w:rPr>
      </w:pPr>
      <w:r w:rsidRPr="00CC6ACA">
        <w:rPr>
          <w:rFonts w:cstheme="minorHAnsi"/>
        </w:rPr>
        <w:t xml:space="preserve">Distribuzione della sismicità recente (Banche dati INGV:  </w:t>
      </w:r>
      <w:hyperlink r:id="rId20" w:history="1">
        <w:r w:rsidRPr="00CC6ACA">
          <w:rPr>
            <w:rStyle w:val="Collegamentoipertestuale"/>
            <w:rFonts w:cstheme="minorHAnsi"/>
            <w:color w:val="auto"/>
          </w:rPr>
          <w:t>http://terremoti.ingv.it/</w:t>
        </w:r>
      </w:hyperlink>
      <w:r w:rsidRPr="00CC6ACA">
        <w:rPr>
          <w:rFonts w:cstheme="minorHAnsi"/>
        </w:rPr>
        <w:t xml:space="preserve">; CSI1.1: </w:t>
      </w:r>
      <w:hyperlink r:id="rId21" w:history="1">
        <w:r w:rsidRPr="00CC6ACA">
          <w:rPr>
            <w:rStyle w:val="Collegamentoipertestuale"/>
            <w:rFonts w:cstheme="minorHAnsi"/>
            <w:color w:val="auto"/>
          </w:rPr>
          <w:t>http://csi.rm.ingv.it</w:t>
        </w:r>
      </w:hyperlink>
      <w:r w:rsidRPr="00CC6ACA">
        <w:rPr>
          <w:rFonts w:cstheme="minorHAnsi"/>
        </w:rPr>
        <w:t>; Banche dati regionali).</w:t>
      </w:r>
    </w:p>
    <w:p w14:paraId="6F924873" w14:textId="77777777" w:rsidR="008B384C" w:rsidRPr="00CC6ACA" w:rsidRDefault="008B384C" w:rsidP="008B384C">
      <w:pPr>
        <w:spacing w:after="0"/>
        <w:jc w:val="both"/>
        <w:rPr>
          <w:rFonts w:cstheme="minorHAnsi"/>
        </w:rPr>
      </w:pPr>
    </w:p>
    <w:p w14:paraId="59F24F00" w14:textId="77777777" w:rsidR="008B384C" w:rsidRPr="00CC6ACA" w:rsidRDefault="008B384C" w:rsidP="008B384C">
      <w:pPr>
        <w:spacing w:after="0"/>
        <w:jc w:val="both"/>
        <w:rPr>
          <w:rFonts w:cstheme="minorHAnsi"/>
        </w:rPr>
      </w:pPr>
      <w:r w:rsidRPr="00CC6ACA">
        <w:rPr>
          <w:rFonts w:cstheme="minorHAnsi"/>
        </w:rPr>
        <w:t>2.3. Pericolosità sismica di base</w:t>
      </w:r>
    </w:p>
    <w:p w14:paraId="3FCD8A24" w14:textId="77777777" w:rsidR="008B384C" w:rsidRPr="00CC6ACA" w:rsidRDefault="008B384C" w:rsidP="008B384C">
      <w:pPr>
        <w:spacing w:after="0"/>
        <w:jc w:val="both"/>
        <w:rPr>
          <w:rFonts w:cstheme="minorHAnsi"/>
        </w:rPr>
      </w:pPr>
      <w:r w:rsidRPr="00CC6ACA">
        <w:rPr>
          <w:rFonts w:cstheme="minorHAnsi"/>
        </w:rPr>
        <w:t>Faglie sismogenetiche (</w:t>
      </w:r>
      <w:hyperlink r:id="rId22" w:history="1">
        <w:r w:rsidRPr="00CC6ACA">
          <w:rPr>
            <w:rStyle w:val="Collegamentoipertestuale"/>
            <w:rFonts w:cstheme="minorHAnsi"/>
            <w:color w:val="auto"/>
          </w:rPr>
          <w:t>https://diss.ingv.it/</w:t>
        </w:r>
      </w:hyperlink>
      <w:r w:rsidRPr="00CC6ACA">
        <w:rPr>
          <w:rFonts w:cstheme="minorHAnsi"/>
        </w:rPr>
        <w:t>), Carte di pericolosità di base (</w:t>
      </w:r>
      <w:hyperlink r:id="rId23" w:history="1">
        <w:r w:rsidRPr="00CC6ACA">
          <w:rPr>
            <w:rStyle w:val="Collegamentoipertestuale"/>
            <w:rFonts w:cstheme="minorHAnsi"/>
            <w:color w:val="auto"/>
          </w:rPr>
          <w:t>http://esse1-gis.mi.ingv.it/</w:t>
        </w:r>
      </w:hyperlink>
      <w:r w:rsidRPr="00CC6ACA">
        <w:rPr>
          <w:rFonts w:cstheme="minorHAnsi"/>
        </w:rPr>
        <w:t>), spettri di risposta di riferimento, registrazioni accelerometriche (</w:t>
      </w:r>
      <w:hyperlink r:id="rId24" w:anchor="/home" w:history="1">
        <w:r w:rsidRPr="00CC6ACA">
          <w:rPr>
            <w:rStyle w:val="Collegamentoipertestuale"/>
            <w:rFonts w:cstheme="minorHAnsi"/>
            <w:color w:val="auto"/>
          </w:rPr>
          <w:t>http://itaca.mi.ingv.it/ItacaNet_31/#/home</w:t>
        </w:r>
      </w:hyperlink>
      <w:r w:rsidRPr="00CC6ACA">
        <w:rPr>
          <w:rFonts w:cstheme="minorHAnsi"/>
        </w:rPr>
        <w:t>).</w:t>
      </w:r>
    </w:p>
    <w:p w14:paraId="4B396A6F" w14:textId="77777777" w:rsidR="008B384C" w:rsidRPr="00CC6ACA" w:rsidRDefault="008B384C" w:rsidP="008B384C">
      <w:pPr>
        <w:spacing w:after="0"/>
        <w:jc w:val="both"/>
        <w:rPr>
          <w:rFonts w:cstheme="minorHAnsi"/>
        </w:rPr>
      </w:pPr>
    </w:p>
    <w:p w14:paraId="74B4F89E" w14:textId="77777777" w:rsidR="008B384C" w:rsidRPr="00CC6ACA" w:rsidRDefault="008B384C" w:rsidP="008B384C">
      <w:pPr>
        <w:spacing w:after="0"/>
        <w:jc w:val="both"/>
        <w:rPr>
          <w:rFonts w:cstheme="minorHAnsi"/>
          <w:i/>
        </w:rPr>
      </w:pPr>
      <w:r w:rsidRPr="00CC6ACA">
        <w:rPr>
          <w:rFonts w:cstheme="minorHAnsi"/>
          <w:i/>
        </w:rPr>
        <w:t>3. Assetto geologico e geomorfologico dell’area</w:t>
      </w:r>
    </w:p>
    <w:p w14:paraId="5DB2AC80" w14:textId="77777777" w:rsidR="00046CCF" w:rsidRPr="00CC6ACA" w:rsidRDefault="00046CCF" w:rsidP="008B384C">
      <w:pPr>
        <w:spacing w:after="0"/>
        <w:jc w:val="both"/>
        <w:rPr>
          <w:rFonts w:cstheme="minorHAnsi"/>
        </w:rPr>
      </w:pPr>
    </w:p>
    <w:p w14:paraId="2A9081F1" w14:textId="77777777" w:rsidR="008B384C" w:rsidRPr="00CC6ACA" w:rsidRDefault="008B384C" w:rsidP="008B384C">
      <w:pPr>
        <w:spacing w:after="0"/>
        <w:jc w:val="both"/>
        <w:rPr>
          <w:rFonts w:cstheme="minorHAnsi"/>
        </w:rPr>
      </w:pPr>
      <w:r w:rsidRPr="00CC6ACA">
        <w:rPr>
          <w:rFonts w:cstheme="minorHAnsi"/>
        </w:rPr>
        <w:t>3.1. Inquadramento geologico</w:t>
      </w:r>
    </w:p>
    <w:p w14:paraId="04D5D36B" w14:textId="77777777" w:rsidR="008B384C" w:rsidRPr="00CC6ACA" w:rsidRDefault="008B384C" w:rsidP="008B384C">
      <w:pPr>
        <w:spacing w:after="0"/>
        <w:jc w:val="both"/>
        <w:rPr>
          <w:rFonts w:cstheme="minorHAnsi"/>
        </w:rPr>
      </w:pPr>
      <w:r w:rsidRPr="00CC6ACA">
        <w:rPr>
          <w:rFonts w:cstheme="minorHAnsi"/>
        </w:rPr>
        <w:t>Inquadramento geologico generale, assetto tettonico e neotettonico, con riferimenti ai dati di base considerati (cartografia, sezioni geologiche, studi e articoli scientifici) e ai nuovi dati acquisiti nei rilievi geologici realizzati durante lo studio di Microzonazione Sismica, corredati da una cartografia geologica e geomorfologica di base aggiornata.</w:t>
      </w:r>
    </w:p>
    <w:p w14:paraId="1A1C73AF" w14:textId="77777777" w:rsidR="008B384C" w:rsidRPr="00CC6ACA" w:rsidRDefault="008B384C" w:rsidP="008B384C">
      <w:pPr>
        <w:spacing w:after="0"/>
        <w:jc w:val="both"/>
        <w:rPr>
          <w:rFonts w:cstheme="minorHAnsi"/>
        </w:rPr>
      </w:pPr>
    </w:p>
    <w:p w14:paraId="508EC2CF" w14:textId="77777777" w:rsidR="008B384C" w:rsidRPr="00CC6ACA" w:rsidRDefault="008B384C" w:rsidP="008B384C">
      <w:pPr>
        <w:spacing w:after="0"/>
        <w:jc w:val="both"/>
        <w:rPr>
          <w:rFonts w:cstheme="minorHAnsi"/>
        </w:rPr>
      </w:pPr>
      <w:r w:rsidRPr="00CC6ACA">
        <w:rPr>
          <w:rFonts w:cstheme="minorHAnsi"/>
        </w:rPr>
        <w:t>3.2. Inquadramento geomorfologico</w:t>
      </w:r>
    </w:p>
    <w:p w14:paraId="0FD46EEC" w14:textId="77777777" w:rsidR="008B384C" w:rsidRPr="00CC6ACA" w:rsidRDefault="008B384C" w:rsidP="008B384C">
      <w:pPr>
        <w:spacing w:after="0"/>
        <w:jc w:val="both"/>
        <w:rPr>
          <w:rFonts w:cstheme="minorHAnsi"/>
        </w:rPr>
      </w:pPr>
      <w:r w:rsidRPr="00CC6ACA">
        <w:rPr>
          <w:rFonts w:cstheme="minorHAnsi"/>
        </w:rPr>
        <w:t xml:space="preserve">Inquadramento geomorfologico generale dell’area di studio con particolare riferimento agli elementi morfologici potenzialmente soggetti ad amplificazioni topografiche. </w:t>
      </w:r>
    </w:p>
    <w:p w14:paraId="63B0008A" w14:textId="7ACBF6DC" w:rsidR="00FC6384" w:rsidRDefault="00FC6384" w:rsidP="008B384C">
      <w:pPr>
        <w:spacing w:after="0"/>
        <w:jc w:val="both"/>
        <w:rPr>
          <w:rFonts w:cstheme="minorHAnsi"/>
        </w:rPr>
      </w:pPr>
    </w:p>
    <w:p w14:paraId="7DCA4988" w14:textId="77777777" w:rsidR="00551336" w:rsidRPr="00CC6ACA" w:rsidRDefault="00551336" w:rsidP="008B384C">
      <w:pPr>
        <w:spacing w:after="0"/>
        <w:jc w:val="both"/>
        <w:rPr>
          <w:rFonts w:cstheme="minorHAnsi"/>
        </w:rPr>
      </w:pPr>
    </w:p>
    <w:p w14:paraId="72119FCC" w14:textId="77777777" w:rsidR="008B384C" w:rsidRPr="00CC6ACA" w:rsidRDefault="008B384C" w:rsidP="00FC6384">
      <w:pPr>
        <w:widowControl w:val="0"/>
        <w:spacing w:after="0"/>
        <w:jc w:val="both"/>
        <w:rPr>
          <w:rFonts w:cstheme="minorHAnsi"/>
        </w:rPr>
      </w:pPr>
      <w:r w:rsidRPr="00CC6ACA">
        <w:rPr>
          <w:rFonts w:cstheme="minorHAnsi"/>
        </w:rPr>
        <w:lastRenderedPageBreak/>
        <w:t>3.3. Successione stratigrafica</w:t>
      </w:r>
    </w:p>
    <w:p w14:paraId="292C4401" w14:textId="77777777" w:rsidR="008B384C" w:rsidRPr="00CC6ACA" w:rsidRDefault="008B384C" w:rsidP="00FC6384">
      <w:pPr>
        <w:widowControl w:val="0"/>
        <w:spacing w:after="0"/>
        <w:jc w:val="both"/>
        <w:rPr>
          <w:rFonts w:cstheme="minorHAnsi"/>
        </w:rPr>
      </w:pPr>
      <w:r w:rsidRPr="00CC6ACA">
        <w:rPr>
          <w:rFonts w:cstheme="minorHAnsi"/>
        </w:rPr>
        <w:t>Descrizione delle unità litostratigrafiche affioranti e non (individuate con i sondaggi). Descrizione litostratigrafica degli affioramenti geologici ritenuti più rappresentativi (per estensione dell’affioramento e per caratteristiche lito-strutturali) corredate da materiale fotografico dettagliato (commentato anche graficamente). Attribuzione delle unità litostratigrafiche ai Terreni di Copertura o al Substrato. Descrizioni della natura e delle geometrie delle superfici di contatto tra le diverse unità litostratigrafiche e tra Terreni di copertura e Substrato, corredate da schemi riassuntivi (schema dei rapporti stratigrafici, tabelle di sintesi).</w:t>
      </w:r>
    </w:p>
    <w:p w14:paraId="2239AD9C" w14:textId="77777777" w:rsidR="008B384C" w:rsidRPr="00CC6ACA" w:rsidRDefault="008B384C" w:rsidP="008B384C">
      <w:pPr>
        <w:spacing w:after="0"/>
        <w:jc w:val="both"/>
        <w:rPr>
          <w:rFonts w:cstheme="minorHAnsi"/>
        </w:rPr>
      </w:pPr>
    </w:p>
    <w:p w14:paraId="19C60BF2" w14:textId="77777777" w:rsidR="008B384C" w:rsidRPr="00CC6ACA" w:rsidRDefault="008B384C" w:rsidP="008B384C">
      <w:pPr>
        <w:spacing w:after="0"/>
        <w:jc w:val="both"/>
        <w:rPr>
          <w:rFonts w:cstheme="minorHAnsi"/>
        </w:rPr>
      </w:pPr>
      <w:r w:rsidRPr="00CC6ACA">
        <w:rPr>
          <w:rFonts w:cstheme="minorHAnsi"/>
        </w:rPr>
        <w:t>3.4. Elementi tettonici</w:t>
      </w:r>
    </w:p>
    <w:p w14:paraId="5DC50752" w14:textId="77777777" w:rsidR="008B384C" w:rsidRPr="00CC6ACA" w:rsidRDefault="008B384C" w:rsidP="008B384C">
      <w:pPr>
        <w:spacing w:after="0"/>
        <w:jc w:val="both"/>
        <w:rPr>
          <w:rFonts w:cstheme="minorHAnsi"/>
        </w:rPr>
      </w:pPr>
      <w:r w:rsidRPr="00CC6ACA">
        <w:rPr>
          <w:rFonts w:cstheme="minorHAnsi"/>
        </w:rPr>
        <w:t>Faglie non attive, faglie attive e capaci (FAC) e faglie potenzialmente attive e capaci (FPAC).</w:t>
      </w:r>
    </w:p>
    <w:p w14:paraId="6AB6CEC5" w14:textId="77777777" w:rsidR="008B384C" w:rsidRPr="00CC6ACA" w:rsidRDefault="008B384C" w:rsidP="008B384C">
      <w:pPr>
        <w:spacing w:after="0"/>
        <w:jc w:val="both"/>
        <w:rPr>
          <w:rFonts w:cstheme="minorHAnsi"/>
        </w:rPr>
      </w:pPr>
    </w:p>
    <w:p w14:paraId="022750AF" w14:textId="77777777" w:rsidR="008B384C" w:rsidRPr="00CC6ACA" w:rsidRDefault="008B384C" w:rsidP="008B384C">
      <w:pPr>
        <w:spacing w:after="0"/>
        <w:jc w:val="both"/>
        <w:rPr>
          <w:rFonts w:cstheme="minorHAnsi"/>
        </w:rPr>
      </w:pPr>
      <w:r w:rsidRPr="00CC6ACA">
        <w:rPr>
          <w:rFonts w:cstheme="minorHAnsi"/>
        </w:rPr>
        <w:t>3.5. Sezioni Geologiche e Modello geologico</w:t>
      </w:r>
    </w:p>
    <w:p w14:paraId="394EF961" w14:textId="77777777" w:rsidR="008B384C" w:rsidRPr="00CC6ACA" w:rsidRDefault="008B384C" w:rsidP="008B384C">
      <w:pPr>
        <w:spacing w:after="0"/>
        <w:jc w:val="both"/>
        <w:rPr>
          <w:rFonts w:cstheme="minorHAnsi"/>
        </w:rPr>
      </w:pPr>
      <w:r w:rsidRPr="00CC6ACA">
        <w:rPr>
          <w:rFonts w:cstheme="minorHAnsi"/>
        </w:rPr>
        <w:t>Descrizione e analisi delle sezioni geologiche e presentazione del modello geologico.</w:t>
      </w:r>
    </w:p>
    <w:p w14:paraId="25C1D3BC" w14:textId="77777777" w:rsidR="008B384C" w:rsidRPr="00CC6ACA" w:rsidRDefault="008B384C" w:rsidP="008B384C">
      <w:pPr>
        <w:spacing w:after="0"/>
        <w:jc w:val="both"/>
        <w:rPr>
          <w:rFonts w:cstheme="minorHAnsi"/>
        </w:rPr>
      </w:pPr>
    </w:p>
    <w:p w14:paraId="17E4A772" w14:textId="77777777" w:rsidR="008B384C" w:rsidRPr="00CC6ACA" w:rsidRDefault="008B384C" w:rsidP="008B384C">
      <w:pPr>
        <w:spacing w:after="0"/>
        <w:jc w:val="both"/>
        <w:rPr>
          <w:rFonts w:cstheme="minorHAnsi"/>
        </w:rPr>
      </w:pPr>
      <w:r w:rsidRPr="00CC6ACA">
        <w:rPr>
          <w:rFonts w:cstheme="minorHAnsi"/>
        </w:rPr>
        <w:t>3.6. Considerazioni finali sull’architettura stratigrafica e sull'assetto morfologico e strutturale</w:t>
      </w:r>
    </w:p>
    <w:p w14:paraId="39F87337" w14:textId="77777777" w:rsidR="008B384C" w:rsidRPr="00CC6ACA" w:rsidRDefault="008B384C" w:rsidP="008B384C">
      <w:pPr>
        <w:spacing w:after="0"/>
        <w:jc w:val="both"/>
        <w:rPr>
          <w:rFonts w:cstheme="minorHAnsi"/>
        </w:rPr>
      </w:pPr>
      <w:r w:rsidRPr="00CC6ACA">
        <w:rPr>
          <w:rFonts w:cstheme="minorHAnsi"/>
        </w:rPr>
        <w:t>Informazioni e considerazioni utili ai fini della valutazione delle criticità geologiche che insistono nelle aree investigate; indicazioni funzionali alla definizione della risposta sismica locale (es. notizie storiche su effetti cosismici a seguito di terremoti passati, interventi di stabilizzazione effettuati in aree in frana o in aree caratterizzate da litologie con caratteristiche geotecniche scadenti).</w:t>
      </w:r>
    </w:p>
    <w:p w14:paraId="0B68E4AB" w14:textId="77777777" w:rsidR="008B384C" w:rsidRPr="00CC6ACA" w:rsidRDefault="008B384C" w:rsidP="008B384C">
      <w:pPr>
        <w:spacing w:after="0"/>
        <w:jc w:val="both"/>
        <w:rPr>
          <w:rFonts w:cstheme="minorHAnsi"/>
        </w:rPr>
      </w:pPr>
    </w:p>
    <w:p w14:paraId="521925DF" w14:textId="77777777" w:rsidR="008B384C" w:rsidRPr="00CC6ACA" w:rsidRDefault="008B384C" w:rsidP="008B384C">
      <w:pPr>
        <w:spacing w:after="0"/>
        <w:jc w:val="both"/>
        <w:rPr>
          <w:rFonts w:cstheme="minorHAnsi"/>
          <w:i/>
        </w:rPr>
      </w:pPr>
      <w:r w:rsidRPr="00CC6ACA">
        <w:rPr>
          <w:rFonts w:cstheme="minorHAnsi"/>
          <w:i/>
        </w:rPr>
        <w:t>4. Dati geotecnici e geofisici</w:t>
      </w:r>
    </w:p>
    <w:p w14:paraId="29CECD3B" w14:textId="77777777" w:rsidR="00046CCF" w:rsidRPr="00CC6ACA" w:rsidRDefault="00046CCF" w:rsidP="008B384C">
      <w:pPr>
        <w:spacing w:after="0"/>
        <w:jc w:val="both"/>
        <w:rPr>
          <w:rFonts w:cstheme="minorHAnsi"/>
        </w:rPr>
      </w:pPr>
    </w:p>
    <w:p w14:paraId="7DA41584" w14:textId="77777777" w:rsidR="008B384C" w:rsidRPr="00CC6ACA" w:rsidRDefault="008B384C" w:rsidP="008B384C">
      <w:pPr>
        <w:spacing w:after="0"/>
        <w:jc w:val="both"/>
        <w:rPr>
          <w:rFonts w:cstheme="minorHAnsi"/>
        </w:rPr>
      </w:pPr>
      <w:r w:rsidRPr="00CC6ACA">
        <w:rPr>
          <w:rFonts w:cstheme="minorHAnsi"/>
        </w:rPr>
        <w:t>4.1. Dati pregressi</w:t>
      </w:r>
    </w:p>
    <w:p w14:paraId="1ADA54ED" w14:textId="77777777" w:rsidR="008B384C" w:rsidRPr="00CC6ACA" w:rsidRDefault="008B384C" w:rsidP="008B384C">
      <w:pPr>
        <w:spacing w:after="0"/>
        <w:jc w:val="both"/>
        <w:rPr>
          <w:rFonts w:cstheme="minorHAnsi"/>
        </w:rPr>
      </w:pPr>
      <w:r w:rsidRPr="00CC6ACA">
        <w:rPr>
          <w:rFonts w:cstheme="minorHAnsi"/>
        </w:rPr>
        <w:t>Schematizzazione dei dati pregressi acquisiti ad integrazione dei dati già disponibili derivanti dallo studio di MS di livello 1. Indicazione degli archivi e banche dati consultate per l’acquisizione dei dati pregressi.</w:t>
      </w:r>
    </w:p>
    <w:p w14:paraId="44F8D832" w14:textId="77777777" w:rsidR="008B384C" w:rsidRPr="00CC6ACA" w:rsidRDefault="008B384C" w:rsidP="008B384C">
      <w:pPr>
        <w:spacing w:after="0"/>
        <w:jc w:val="both"/>
        <w:rPr>
          <w:rFonts w:cstheme="minorHAnsi"/>
        </w:rPr>
      </w:pPr>
    </w:p>
    <w:p w14:paraId="198AD6AD" w14:textId="77777777" w:rsidR="008B384C" w:rsidRPr="00CC6ACA" w:rsidRDefault="008B384C" w:rsidP="008B384C">
      <w:pPr>
        <w:spacing w:after="0"/>
        <w:jc w:val="both"/>
        <w:rPr>
          <w:rFonts w:cstheme="minorHAnsi"/>
        </w:rPr>
      </w:pPr>
      <w:r w:rsidRPr="00CC6ACA">
        <w:rPr>
          <w:rFonts w:cstheme="minorHAnsi"/>
        </w:rPr>
        <w:t>4.2. Dati acquisiti ex-novo</w:t>
      </w:r>
    </w:p>
    <w:p w14:paraId="7E5A5C86" w14:textId="77777777" w:rsidR="008B384C" w:rsidRPr="00CC6ACA" w:rsidRDefault="008B384C" w:rsidP="008B384C">
      <w:pPr>
        <w:spacing w:after="0"/>
        <w:jc w:val="both"/>
        <w:rPr>
          <w:rFonts w:cstheme="minorHAnsi"/>
        </w:rPr>
      </w:pPr>
      <w:r w:rsidRPr="00CC6ACA">
        <w:rPr>
          <w:rFonts w:cstheme="minorHAnsi"/>
        </w:rPr>
        <w:t xml:space="preserve">Schematizzazione dei dati acquisiti ex-novo. Descrizione delle tecniche di acquisizione e modalità di elaborazione dei nuovi dati, attrezzature utilizzate e modalità di esecuzione delle prove (tale indicazione va fornita per ogni tipologia di indagine geognostica, geotecnica e geofisica acquisita ex-novo mediante un sotto paragrafo dedicato). </w:t>
      </w:r>
    </w:p>
    <w:p w14:paraId="6B9C6AED" w14:textId="77777777" w:rsidR="008B384C" w:rsidRPr="00CC6ACA" w:rsidRDefault="008B384C" w:rsidP="008B384C">
      <w:pPr>
        <w:spacing w:after="0"/>
        <w:jc w:val="both"/>
        <w:rPr>
          <w:rFonts w:cstheme="minorHAnsi"/>
        </w:rPr>
      </w:pPr>
    </w:p>
    <w:p w14:paraId="6ABEF5D0" w14:textId="77777777" w:rsidR="008B384C" w:rsidRPr="00CC6ACA" w:rsidRDefault="008B384C" w:rsidP="008B384C">
      <w:pPr>
        <w:spacing w:after="0"/>
        <w:jc w:val="both"/>
        <w:rPr>
          <w:rFonts w:cstheme="minorHAnsi"/>
          <w:i/>
        </w:rPr>
      </w:pPr>
      <w:r w:rsidRPr="00CC6ACA">
        <w:rPr>
          <w:rFonts w:cstheme="minorHAnsi"/>
          <w:i/>
        </w:rPr>
        <w:t>5. Modello del sottosuolo finalizzato alla MS</w:t>
      </w:r>
    </w:p>
    <w:p w14:paraId="3AE9262C" w14:textId="77777777" w:rsidR="008B384C" w:rsidRPr="00CC6ACA" w:rsidRDefault="008B384C" w:rsidP="008B384C">
      <w:pPr>
        <w:spacing w:after="0"/>
        <w:jc w:val="both"/>
        <w:rPr>
          <w:rFonts w:cstheme="minorHAnsi"/>
        </w:rPr>
      </w:pPr>
      <w:r w:rsidRPr="00CC6ACA">
        <w:rPr>
          <w:rFonts w:cstheme="minorHAnsi"/>
        </w:rPr>
        <w:t>5.1. Unità geologico-tecniche: definizione e parametrizzazione</w:t>
      </w:r>
    </w:p>
    <w:p w14:paraId="1D6A3842" w14:textId="77777777" w:rsidR="008B384C" w:rsidRPr="00CC6ACA" w:rsidRDefault="008B384C" w:rsidP="008B384C">
      <w:pPr>
        <w:spacing w:after="0"/>
        <w:jc w:val="both"/>
        <w:rPr>
          <w:rFonts w:cstheme="minorHAnsi"/>
        </w:rPr>
      </w:pPr>
      <w:r w:rsidRPr="00CC6ACA">
        <w:rPr>
          <w:rFonts w:cstheme="minorHAnsi"/>
        </w:rPr>
        <w:t>Modalità di integrazione dei dati raccolti ed estrapolazione delle unità geologico-tecniche dalle unità litostratigrafiche. Definizione e schematizzazione delle unità geologico-tecniche con sintesi delle principali proprietà fisiche, meccaniche (statiche e dinamiche) e geofisiche rilevanti per la modellazione della risposta sismica locale, tratte dalla letteratura e dalle indagini svolte (è richiesta la realizzazione di tabelle riassuntive). Attribuzione delle unità geologico-tecniche ai Terreni di Copertura o al Substrato.  Definizione del modello di sottosuolo.</w:t>
      </w:r>
    </w:p>
    <w:p w14:paraId="0EFD0064" w14:textId="77777777" w:rsidR="008B384C" w:rsidRPr="00CC6ACA" w:rsidRDefault="008B384C" w:rsidP="008B384C">
      <w:pPr>
        <w:spacing w:after="0"/>
        <w:jc w:val="both"/>
        <w:rPr>
          <w:rFonts w:cstheme="minorHAnsi"/>
        </w:rPr>
      </w:pPr>
    </w:p>
    <w:p w14:paraId="1B04A996" w14:textId="77777777" w:rsidR="008B384C" w:rsidRPr="00CC6ACA" w:rsidRDefault="008B384C" w:rsidP="008B384C">
      <w:pPr>
        <w:spacing w:after="0"/>
        <w:jc w:val="both"/>
        <w:rPr>
          <w:rFonts w:cstheme="minorHAnsi"/>
        </w:rPr>
      </w:pPr>
      <w:r w:rsidRPr="00CC6ACA">
        <w:rPr>
          <w:rFonts w:cstheme="minorHAnsi"/>
        </w:rPr>
        <w:t>5.2. Sezioni geologico-tecniche</w:t>
      </w:r>
    </w:p>
    <w:p w14:paraId="1CEAAE3F" w14:textId="77777777" w:rsidR="008B384C" w:rsidRPr="00CC6ACA" w:rsidRDefault="008B384C" w:rsidP="008B384C">
      <w:pPr>
        <w:spacing w:after="0"/>
        <w:jc w:val="both"/>
        <w:rPr>
          <w:rFonts w:cstheme="minorHAnsi"/>
        </w:rPr>
      </w:pPr>
      <w:r w:rsidRPr="00CC6ACA">
        <w:rPr>
          <w:rFonts w:cstheme="minorHAnsi"/>
        </w:rPr>
        <w:t>Descrizione delle sezioni geologico-tecniche (in numero non inferiore a 2) rappresentative della complessità del sottosuolo dell’area investigata ed orientate in modo da evidenziare tutti gli elementi che possono indurre effetti locali di amplificazione (ad es., valli e scarpate sepolte, oppure zone con intensa fratturazione). In particolare, dovranno essere evidenziati e descritti i seguenti elementi:</w:t>
      </w:r>
    </w:p>
    <w:p w14:paraId="722B56B0" w14:textId="77777777" w:rsidR="008B384C" w:rsidRPr="00CC6ACA" w:rsidRDefault="008B384C" w:rsidP="008B384C">
      <w:pPr>
        <w:spacing w:after="0"/>
        <w:jc w:val="both"/>
        <w:rPr>
          <w:rFonts w:cstheme="minorHAnsi"/>
        </w:rPr>
      </w:pPr>
      <w:r w:rsidRPr="00CC6ACA">
        <w:rPr>
          <w:rFonts w:cstheme="minorHAnsi"/>
        </w:rPr>
        <w:lastRenderedPageBreak/>
        <w:t>- Andamento dell'interfaccia substrato geologico-coperture;</w:t>
      </w:r>
    </w:p>
    <w:p w14:paraId="03A999CC" w14:textId="77777777" w:rsidR="008B384C" w:rsidRPr="00CC6ACA" w:rsidRDefault="008B384C" w:rsidP="008B384C">
      <w:pPr>
        <w:spacing w:after="0"/>
        <w:jc w:val="both"/>
        <w:rPr>
          <w:rFonts w:cstheme="minorHAnsi"/>
        </w:rPr>
      </w:pPr>
      <w:r w:rsidRPr="00CC6ACA">
        <w:rPr>
          <w:rFonts w:cstheme="minorHAnsi"/>
        </w:rPr>
        <w:t>- Discontinuità sismiche e litostratigrafiche, morfologie sepolte e di superficie;</w:t>
      </w:r>
    </w:p>
    <w:p w14:paraId="1C7DE454" w14:textId="77777777" w:rsidR="008B384C" w:rsidRPr="00CC6ACA" w:rsidRDefault="008B384C" w:rsidP="008B384C">
      <w:pPr>
        <w:spacing w:after="0"/>
        <w:jc w:val="both"/>
        <w:rPr>
          <w:rFonts w:cstheme="minorHAnsi"/>
        </w:rPr>
      </w:pPr>
      <w:r w:rsidRPr="00CC6ACA">
        <w:rPr>
          <w:rFonts w:cstheme="minorHAnsi"/>
        </w:rPr>
        <w:t>- Spessori significativi delle unità geologico-tecniche omogenee;</w:t>
      </w:r>
    </w:p>
    <w:p w14:paraId="24AD2D5B" w14:textId="77777777" w:rsidR="008B384C" w:rsidRPr="00CC6ACA" w:rsidRDefault="008B384C" w:rsidP="008B384C">
      <w:pPr>
        <w:spacing w:after="0"/>
        <w:jc w:val="both"/>
        <w:rPr>
          <w:rFonts w:cstheme="minorHAnsi"/>
        </w:rPr>
      </w:pPr>
      <w:r w:rsidRPr="00CC6ACA">
        <w:rPr>
          <w:rFonts w:cstheme="minorHAnsi"/>
        </w:rPr>
        <w:t xml:space="preserve">- Zone interessate da instabilità (frane, faglie attive e capaci, liquefazione, cedimenti); </w:t>
      </w:r>
    </w:p>
    <w:p w14:paraId="22B1B070" w14:textId="77777777" w:rsidR="008B384C" w:rsidRPr="00CC6ACA" w:rsidRDefault="008B384C" w:rsidP="008B384C">
      <w:pPr>
        <w:spacing w:after="0"/>
        <w:jc w:val="both"/>
        <w:rPr>
          <w:rFonts w:cstheme="minorHAnsi"/>
        </w:rPr>
      </w:pPr>
      <w:r w:rsidRPr="00CC6ACA">
        <w:rPr>
          <w:rFonts w:cstheme="minorHAnsi"/>
        </w:rPr>
        <w:t>- Elementi tettonici e strutturali rilevanti;</w:t>
      </w:r>
    </w:p>
    <w:p w14:paraId="15CA6AE4" w14:textId="77777777" w:rsidR="008B384C" w:rsidRPr="00CC6ACA" w:rsidRDefault="008B384C" w:rsidP="008B384C">
      <w:pPr>
        <w:spacing w:after="0"/>
        <w:jc w:val="both"/>
        <w:rPr>
          <w:rFonts w:cstheme="minorHAnsi"/>
        </w:rPr>
      </w:pPr>
      <w:r w:rsidRPr="00CC6ACA">
        <w:rPr>
          <w:rFonts w:cstheme="minorHAnsi"/>
        </w:rPr>
        <w:t>- Andamento della superficie piezometrica.</w:t>
      </w:r>
    </w:p>
    <w:p w14:paraId="11737B22" w14:textId="77777777" w:rsidR="008B384C" w:rsidRPr="00CC6ACA" w:rsidRDefault="008B384C" w:rsidP="008B384C">
      <w:pPr>
        <w:spacing w:after="0"/>
        <w:jc w:val="both"/>
        <w:rPr>
          <w:rFonts w:cstheme="minorHAnsi"/>
        </w:rPr>
      </w:pPr>
    </w:p>
    <w:p w14:paraId="164773B6" w14:textId="77777777" w:rsidR="008B384C" w:rsidRPr="00CC6ACA" w:rsidRDefault="008B384C" w:rsidP="008B384C">
      <w:pPr>
        <w:spacing w:after="0"/>
        <w:jc w:val="both"/>
        <w:rPr>
          <w:rFonts w:cstheme="minorHAnsi"/>
        </w:rPr>
      </w:pPr>
      <w:r w:rsidRPr="00CC6ACA">
        <w:rPr>
          <w:rFonts w:cstheme="minorHAnsi"/>
        </w:rPr>
        <w:t>5.3 Definizione delle porzioni territoriali da studiare mediante approfondimenti di livello 3 (ove presenti)</w:t>
      </w:r>
    </w:p>
    <w:p w14:paraId="4E2ED4F9" w14:textId="77777777" w:rsidR="008B384C" w:rsidRPr="00CC6ACA" w:rsidRDefault="008B384C" w:rsidP="008B384C">
      <w:pPr>
        <w:spacing w:after="0"/>
        <w:jc w:val="both"/>
        <w:rPr>
          <w:rFonts w:cstheme="minorHAnsi"/>
        </w:rPr>
      </w:pPr>
    </w:p>
    <w:p w14:paraId="75AD35B6" w14:textId="77777777" w:rsidR="008B384C" w:rsidRPr="00CC6ACA" w:rsidRDefault="008B384C" w:rsidP="008B384C">
      <w:pPr>
        <w:spacing w:after="0"/>
        <w:jc w:val="both"/>
        <w:rPr>
          <w:rFonts w:cstheme="minorHAnsi"/>
          <w:i/>
        </w:rPr>
      </w:pPr>
      <w:r w:rsidRPr="00CC6ACA">
        <w:rPr>
          <w:rFonts w:cstheme="minorHAnsi"/>
          <w:i/>
        </w:rPr>
        <w:t>6. Interpretazioni e incertezze</w:t>
      </w:r>
    </w:p>
    <w:p w14:paraId="10F27E7B" w14:textId="77777777" w:rsidR="008B384C" w:rsidRPr="00CC6ACA" w:rsidRDefault="008B384C" w:rsidP="008B384C">
      <w:pPr>
        <w:spacing w:after="0"/>
        <w:jc w:val="both"/>
        <w:rPr>
          <w:rFonts w:cstheme="minorHAnsi"/>
        </w:rPr>
      </w:pPr>
      <w:r w:rsidRPr="00CC6ACA">
        <w:rPr>
          <w:rFonts w:cstheme="minorHAnsi"/>
        </w:rPr>
        <w:t>Distribuzione dei dati: rappresentatività e incertezze (es., evidenziare litotipi per i quali si dispone di dati diretti e quelli per i quali si è fatto ricorso a dati di letteratura, trattamento statistico dei dati meccanici se la numerazione del campione lo consente). Limiti del modello di sottosuolo.</w:t>
      </w:r>
    </w:p>
    <w:p w14:paraId="41EAF5CC" w14:textId="77777777" w:rsidR="008B384C" w:rsidRPr="00CC6ACA" w:rsidRDefault="008B384C" w:rsidP="008B384C">
      <w:pPr>
        <w:spacing w:after="0"/>
        <w:jc w:val="both"/>
        <w:rPr>
          <w:rFonts w:cstheme="minorHAnsi"/>
        </w:rPr>
      </w:pPr>
    </w:p>
    <w:p w14:paraId="6DE46707" w14:textId="77777777" w:rsidR="008B384C" w:rsidRPr="00CC6ACA" w:rsidRDefault="008B384C" w:rsidP="008B384C">
      <w:pPr>
        <w:spacing w:after="0"/>
        <w:jc w:val="both"/>
        <w:rPr>
          <w:rFonts w:cstheme="minorHAnsi"/>
          <w:i/>
        </w:rPr>
      </w:pPr>
      <w:r w:rsidRPr="00CC6ACA">
        <w:rPr>
          <w:rFonts w:cstheme="minorHAnsi"/>
          <w:i/>
        </w:rPr>
        <w:t>7. Metodologie di elaborazione e risultati</w:t>
      </w:r>
    </w:p>
    <w:p w14:paraId="6E51622A" w14:textId="77777777" w:rsidR="008B384C" w:rsidRPr="00CC6ACA" w:rsidRDefault="008B384C" w:rsidP="008B384C">
      <w:pPr>
        <w:spacing w:after="0"/>
        <w:jc w:val="both"/>
        <w:rPr>
          <w:rFonts w:cstheme="minorHAnsi"/>
        </w:rPr>
      </w:pPr>
      <w:r w:rsidRPr="00CC6ACA">
        <w:rPr>
          <w:rFonts w:cstheme="minorHAnsi"/>
        </w:rPr>
        <w:t xml:space="preserve">Descrizione sintetica del tipo di dati raccolti, dei nuovi dati acquisiti e delle metodologie di elaborazione utilizzate. </w:t>
      </w:r>
    </w:p>
    <w:p w14:paraId="432FD161" w14:textId="77777777" w:rsidR="008B384C" w:rsidRPr="00CC6ACA" w:rsidRDefault="008B384C" w:rsidP="008B384C">
      <w:pPr>
        <w:spacing w:after="0"/>
        <w:jc w:val="both"/>
        <w:rPr>
          <w:rFonts w:cstheme="minorHAnsi"/>
        </w:rPr>
      </w:pPr>
    </w:p>
    <w:p w14:paraId="1C805447" w14:textId="77777777" w:rsidR="008B384C" w:rsidRPr="00CC6ACA" w:rsidRDefault="008B384C" w:rsidP="008B384C">
      <w:pPr>
        <w:spacing w:after="0"/>
        <w:jc w:val="both"/>
        <w:rPr>
          <w:rFonts w:cstheme="minorHAnsi"/>
        </w:rPr>
      </w:pPr>
      <w:r w:rsidRPr="00CC6ACA">
        <w:rPr>
          <w:rFonts w:cstheme="minorHAnsi"/>
        </w:rPr>
        <w:t>7.1. Zone stabili suscettibili di amplificazione (*)</w:t>
      </w:r>
    </w:p>
    <w:p w14:paraId="022DD9B3" w14:textId="77777777" w:rsidR="008B384C" w:rsidRPr="00CC6ACA" w:rsidRDefault="008B384C" w:rsidP="008B384C">
      <w:pPr>
        <w:spacing w:after="0"/>
        <w:jc w:val="both"/>
        <w:rPr>
          <w:rFonts w:cstheme="minorHAnsi"/>
        </w:rPr>
      </w:pPr>
      <w:r w:rsidRPr="00CC6ACA">
        <w:rPr>
          <w:rFonts w:cstheme="minorHAnsi"/>
        </w:rPr>
        <w:t>7.1.1 Scelta degli abachi per il calcolo dei fattori di amplificazione (°)</w:t>
      </w:r>
    </w:p>
    <w:p w14:paraId="34055A75" w14:textId="77777777" w:rsidR="008B384C" w:rsidRPr="00CC6ACA" w:rsidRDefault="008B384C" w:rsidP="008B384C">
      <w:pPr>
        <w:spacing w:after="0"/>
        <w:jc w:val="both"/>
        <w:rPr>
          <w:rFonts w:cstheme="minorHAnsi"/>
        </w:rPr>
      </w:pPr>
      <w:r w:rsidRPr="00CC6ACA">
        <w:rPr>
          <w:rFonts w:cstheme="minorHAnsi"/>
        </w:rPr>
        <w:t>Elencazione delle zone dove è stato valutato applicabile l’uso di abachi per il calcolo dei fattori di amplificazione. Descrizione dei dati sulla base dei quali è stata valutata questa applicabilità e sono stati scelti gli abachi da applicare.</w:t>
      </w:r>
    </w:p>
    <w:p w14:paraId="4C6BF759" w14:textId="77777777" w:rsidR="008B384C" w:rsidRPr="00CC6ACA" w:rsidRDefault="008B384C" w:rsidP="008B384C">
      <w:pPr>
        <w:spacing w:after="0"/>
        <w:jc w:val="both"/>
        <w:rPr>
          <w:rFonts w:cstheme="minorHAnsi"/>
        </w:rPr>
      </w:pPr>
    </w:p>
    <w:p w14:paraId="64FCEEB1" w14:textId="77777777" w:rsidR="008B384C" w:rsidRPr="00CC6ACA" w:rsidRDefault="008B384C" w:rsidP="008B384C">
      <w:pPr>
        <w:spacing w:after="0"/>
        <w:jc w:val="both"/>
        <w:rPr>
          <w:rFonts w:cstheme="minorHAnsi"/>
        </w:rPr>
      </w:pPr>
      <w:r w:rsidRPr="00CC6ACA">
        <w:rPr>
          <w:rFonts w:cstheme="minorHAnsi"/>
        </w:rPr>
        <w:t>7.1.2. Descrizione dell’input sismico (^)</w:t>
      </w:r>
    </w:p>
    <w:p w14:paraId="565DE294" w14:textId="77777777" w:rsidR="008B384C" w:rsidRPr="00CC6ACA" w:rsidRDefault="008B384C" w:rsidP="008B384C">
      <w:pPr>
        <w:spacing w:after="0"/>
        <w:jc w:val="both"/>
        <w:rPr>
          <w:rFonts w:cstheme="minorHAnsi"/>
        </w:rPr>
      </w:pPr>
      <w:r w:rsidRPr="00CC6ACA">
        <w:rPr>
          <w:rFonts w:cstheme="minorHAnsi"/>
        </w:rPr>
        <w:t>Descrivere la metodologia di studio impiegata evidenziando le procedure di selezione dell’input sismico in relazione alla pericolosità sismica di base. È richiesta una tabella di sintesi degli accelerogrammi scelti con le caratteristiche rilevanti (magnitudo, distanza, condizioni di sottosuolo, fattori di scala) e i grafici di confronto tra lo spettro medio degli accelerogrammi selezionati e lo spettro di riferimento.</w:t>
      </w:r>
    </w:p>
    <w:p w14:paraId="6ACA1F48" w14:textId="77777777" w:rsidR="008B384C" w:rsidRPr="00CC6ACA" w:rsidRDefault="008B384C" w:rsidP="008B384C">
      <w:pPr>
        <w:spacing w:after="0"/>
        <w:jc w:val="both"/>
        <w:rPr>
          <w:rFonts w:cstheme="minorHAnsi"/>
        </w:rPr>
      </w:pPr>
    </w:p>
    <w:p w14:paraId="671EECFD" w14:textId="77777777" w:rsidR="008B384C" w:rsidRPr="00CC6ACA" w:rsidRDefault="008B384C" w:rsidP="008B384C">
      <w:pPr>
        <w:spacing w:after="0"/>
        <w:jc w:val="both"/>
        <w:rPr>
          <w:rFonts w:cstheme="minorHAnsi"/>
        </w:rPr>
      </w:pPr>
      <w:r w:rsidRPr="00CC6ACA">
        <w:rPr>
          <w:rFonts w:cstheme="minorHAnsi"/>
        </w:rPr>
        <w:t>7.1.3. Simulazioni numeriche (</w:t>
      </w:r>
      <w:r w:rsidRPr="00CC6ACA">
        <w:rPr>
          <w:rFonts w:cstheme="minorHAnsi"/>
          <w:vertAlign w:val="superscript"/>
        </w:rPr>
        <w:t>^</w:t>
      </w:r>
      <w:r w:rsidRPr="00CC6ACA">
        <w:rPr>
          <w:rFonts w:cstheme="minorHAnsi"/>
        </w:rPr>
        <w:t>)</w:t>
      </w:r>
    </w:p>
    <w:p w14:paraId="28768C0A" w14:textId="77777777" w:rsidR="008B384C" w:rsidRPr="00CC6ACA" w:rsidRDefault="008B384C" w:rsidP="008B384C">
      <w:pPr>
        <w:spacing w:after="0"/>
        <w:jc w:val="both"/>
        <w:rPr>
          <w:rFonts w:cstheme="minorHAnsi"/>
        </w:rPr>
      </w:pPr>
      <w:r w:rsidRPr="00CC6ACA">
        <w:rPr>
          <w:rFonts w:cstheme="minorHAnsi"/>
        </w:rPr>
        <w:t>Modalità di esecuzione delle simulazioni numeriche con riferimento alle metodologie di calcolo e ai software utilizzati. Modello di calcolo adottato con indicazione delle condizioni al contorno, modalità di applicazione dell’input, parametri rilevanti per la modellazione numerica (es., numero di iterazioni per analisi lineare equivalente, ecc.).</w:t>
      </w:r>
    </w:p>
    <w:p w14:paraId="66E72536" w14:textId="77777777" w:rsidR="008B384C" w:rsidRPr="00CC6ACA" w:rsidRDefault="008B384C" w:rsidP="008B384C">
      <w:pPr>
        <w:spacing w:after="0"/>
        <w:jc w:val="both"/>
        <w:rPr>
          <w:rFonts w:cstheme="minorHAnsi"/>
        </w:rPr>
      </w:pPr>
    </w:p>
    <w:p w14:paraId="4C8B70B1" w14:textId="77777777" w:rsidR="008B384C" w:rsidRPr="00CC6ACA" w:rsidRDefault="008B384C" w:rsidP="008B384C">
      <w:pPr>
        <w:spacing w:after="0"/>
        <w:jc w:val="both"/>
        <w:rPr>
          <w:rFonts w:cstheme="minorHAnsi"/>
        </w:rPr>
      </w:pPr>
      <w:r w:rsidRPr="00CC6ACA">
        <w:rPr>
          <w:rFonts w:cstheme="minorHAnsi"/>
        </w:rPr>
        <w:t>7.1.4. Risultati</w:t>
      </w:r>
    </w:p>
    <w:p w14:paraId="1C6F1B9B" w14:textId="77777777" w:rsidR="008B384C" w:rsidRPr="00CC6ACA" w:rsidRDefault="008B384C" w:rsidP="008B384C">
      <w:pPr>
        <w:spacing w:after="0"/>
        <w:jc w:val="both"/>
        <w:rPr>
          <w:rFonts w:cstheme="minorHAnsi"/>
        </w:rPr>
      </w:pPr>
      <w:r w:rsidRPr="00CC6ACA">
        <w:rPr>
          <w:rFonts w:cstheme="minorHAnsi"/>
        </w:rPr>
        <w:t xml:space="preserve">I risultati dell’applicazione degli abachi vanno espressi in tabelle riassuntive che riportano, per ciascuna zona cui l’uso degli abachi è stato applicato, i valori dei fattori di amplificazione ottenuti. </w:t>
      </w:r>
    </w:p>
    <w:p w14:paraId="4EE41669" w14:textId="77777777" w:rsidR="008B384C" w:rsidRPr="00CC6ACA" w:rsidRDefault="008B384C" w:rsidP="008B384C">
      <w:pPr>
        <w:spacing w:after="0"/>
        <w:jc w:val="both"/>
        <w:rPr>
          <w:rFonts w:cstheme="minorHAnsi"/>
        </w:rPr>
      </w:pPr>
      <w:r w:rsidRPr="00CC6ACA">
        <w:rPr>
          <w:rFonts w:cstheme="minorHAnsi"/>
        </w:rPr>
        <w:t>____________</w:t>
      </w:r>
    </w:p>
    <w:p w14:paraId="1F3C9B7B" w14:textId="77777777" w:rsidR="008B384C" w:rsidRPr="00CC6ACA" w:rsidRDefault="008B384C" w:rsidP="008B384C">
      <w:pPr>
        <w:spacing w:after="0"/>
        <w:jc w:val="both"/>
        <w:rPr>
          <w:rFonts w:cstheme="minorHAnsi"/>
        </w:rPr>
      </w:pPr>
      <w:r w:rsidRPr="00CC6ACA">
        <w:rPr>
          <w:rFonts w:cstheme="minorHAnsi"/>
        </w:rPr>
        <w:t xml:space="preserve">(*) Le successive sottosezioni vanno redatte se applicabili allo studio e numerate di conseguenza. </w:t>
      </w:r>
    </w:p>
    <w:p w14:paraId="73256F49" w14:textId="77777777" w:rsidR="008B384C" w:rsidRPr="00CC6ACA" w:rsidRDefault="008B384C" w:rsidP="008B384C">
      <w:pPr>
        <w:spacing w:after="0"/>
        <w:ind w:left="284" w:hanging="284"/>
        <w:jc w:val="both"/>
        <w:rPr>
          <w:rFonts w:cstheme="minorHAnsi"/>
        </w:rPr>
      </w:pPr>
      <w:r w:rsidRPr="00CC6ACA">
        <w:rPr>
          <w:rFonts w:cstheme="minorHAnsi"/>
        </w:rPr>
        <w:t>(°) Sottosezione da redigere se sono presenti microzone dove i fattori di amplificazione sono calcolabili mediante abachi.</w:t>
      </w:r>
    </w:p>
    <w:p w14:paraId="7E2B26CC" w14:textId="77777777" w:rsidR="008B384C" w:rsidRPr="00CC6ACA" w:rsidRDefault="008B384C" w:rsidP="008B384C">
      <w:pPr>
        <w:spacing w:after="0"/>
        <w:ind w:left="284" w:hanging="284"/>
        <w:jc w:val="both"/>
        <w:rPr>
          <w:rFonts w:cstheme="minorHAnsi"/>
        </w:rPr>
      </w:pPr>
      <w:r w:rsidRPr="00CC6ACA">
        <w:rPr>
          <w:rFonts w:cstheme="minorHAnsi"/>
        </w:rPr>
        <w:t>(^) Sottosezione da redigere se sono presenti microzone dove i fattori di amplificazione vanno calcolati mediante simulazioni numeriche di tipo 1D, eseguite dagli affidatari, o di tipo 2D, eseguite dal GLSTS, utilizzando input sismici forniti dal GLSTS.</w:t>
      </w:r>
    </w:p>
    <w:p w14:paraId="19842FAA" w14:textId="77777777" w:rsidR="00551336" w:rsidRDefault="00551336" w:rsidP="00C37FD3">
      <w:pPr>
        <w:spacing w:after="0"/>
        <w:jc w:val="both"/>
        <w:rPr>
          <w:rFonts w:cstheme="minorHAnsi"/>
        </w:rPr>
      </w:pPr>
    </w:p>
    <w:p w14:paraId="53E7466A" w14:textId="1EC2C801" w:rsidR="00551336" w:rsidRDefault="00551336" w:rsidP="00C37FD3">
      <w:pPr>
        <w:spacing w:after="0"/>
        <w:jc w:val="both"/>
        <w:rPr>
          <w:rFonts w:cstheme="minorHAnsi"/>
        </w:rPr>
      </w:pPr>
      <w:r w:rsidRPr="00CC6ACA">
        <w:rPr>
          <w:rFonts w:cstheme="minorHAnsi"/>
        </w:rPr>
        <w:lastRenderedPageBreak/>
        <w:t xml:space="preserve">I risultati delle analisi numeriche monodimensionali (1D) devono essere espressi in termini di storie temporali dell’accelerazione orizzontale in superficie e relativi spettri di risposta (smorzamento strutturale 5%) di output, grafici che illustrano l’andamento con la profondità di parametri rappresentativi (e.g., tensione tangenziale massima, deformazione tangenziale massima, modulo di taglio, fattore di smorzamento). </w:t>
      </w:r>
    </w:p>
    <w:p w14:paraId="587C53DF" w14:textId="7F25457A" w:rsidR="00C37FD3" w:rsidRPr="00CC6ACA" w:rsidRDefault="00C37FD3" w:rsidP="00C37FD3">
      <w:pPr>
        <w:spacing w:after="0"/>
        <w:jc w:val="both"/>
        <w:rPr>
          <w:rFonts w:cstheme="minorHAnsi"/>
        </w:rPr>
      </w:pPr>
      <w:r w:rsidRPr="00CC6ACA">
        <w:rPr>
          <w:rFonts w:cstheme="minorHAnsi"/>
        </w:rPr>
        <w:t xml:space="preserve">Per ciascuna verticale analizzata, la risposta sismica locale verrà parametrizzata in termini di amplificazione stratigrafica (quantificata obbligatoriamente in termini di fattori di amplificazione FA, FV, FA0105, FA0408, FA0711 e, in aggiunta, facoltativamente, in termini di fattori di amplificazione Ft, FPGA, FH0105, FH0510, FH0515, secondo le definizioni date dagli ICMS 2008 e dagli Standard di rappresentazione ed archiviazione informatica, ver. 4.2) e di spettri di risposta elastici al 5% di smorzamento delle strutture. </w:t>
      </w:r>
    </w:p>
    <w:p w14:paraId="34AA8447" w14:textId="07DCE068" w:rsidR="008B384C" w:rsidRPr="00CC6ACA" w:rsidRDefault="008B384C" w:rsidP="008B384C">
      <w:pPr>
        <w:spacing w:after="0"/>
        <w:jc w:val="both"/>
        <w:rPr>
          <w:rFonts w:cstheme="minorHAnsi"/>
        </w:rPr>
      </w:pPr>
      <w:r w:rsidRPr="00CC6ACA">
        <w:rPr>
          <w:rFonts w:cstheme="minorHAnsi"/>
        </w:rPr>
        <w:t xml:space="preserve">I risultati delle analisi numeriche bidimensionali (forniti dal GLSTS) devono essere espressi in termini di storie temporali dell’accelerazione orizzontale in superficie e relativi spettri di risposta (smorzamento strutturale 5%) di output. Per ciascun nodo di restituzione, la risposta sismica locale verrà parametrizzata in termini di amplificazione </w:t>
      </w:r>
      <w:r w:rsidR="00046CCF" w:rsidRPr="00CC6ACA">
        <w:rPr>
          <w:rFonts w:cstheme="minorHAnsi"/>
        </w:rPr>
        <w:t xml:space="preserve">(quantificata obbligatoriamente in termini di fattori di amplificazione FA, FV, FA0105, FA0408, FA0711 e, in aggiunta, facoltativamente, in termini di fattori di amplificazione Ft, FPGA, FH0105, FH0510, FH0515, secondo le definizioni date dagli ICMS 2008 e dagli Standard di rappresentazione ed archiviazione informatica, ver. 4.2) </w:t>
      </w:r>
      <w:r w:rsidRPr="00CC6ACA">
        <w:rPr>
          <w:rFonts w:cstheme="minorHAnsi"/>
        </w:rPr>
        <w:t>e di spettri risposta elastici al 5% di smorzamento delle strutture.</w:t>
      </w:r>
    </w:p>
    <w:p w14:paraId="0CA171B6" w14:textId="77777777" w:rsidR="008B384C" w:rsidRPr="00CC6ACA" w:rsidRDefault="008B384C" w:rsidP="008B384C">
      <w:pPr>
        <w:spacing w:after="0"/>
        <w:jc w:val="both"/>
        <w:rPr>
          <w:rFonts w:cstheme="minorHAnsi"/>
        </w:rPr>
      </w:pPr>
    </w:p>
    <w:p w14:paraId="28940565" w14:textId="77777777" w:rsidR="008B384C" w:rsidRPr="00CC6ACA" w:rsidRDefault="008B384C" w:rsidP="008B384C">
      <w:pPr>
        <w:spacing w:after="0"/>
        <w:jc w:val="both"/>
        <w:rPr>
          <w:rFonts w:cstheme="minorHAnsi"/>
        </w:rPr>
      </w:pPr>
      <w:r w:rsidRPr="00CC6ACA">
        <w:rPr>
          <w:rFonts w:cstheme="minorHAnsi"/>
        </w:rPr>
        <w:t>7.2. Zone instabili</w:t>
      </w:r>
    </w:p>
    <w:p w14:paraId="519FC8F6" w14:textId="77777777" w:rsidR="008B384C" w:rsidRPr="00CC6ACA" w:rsidRDefault="008B384C" w:rsidP="008B384C">
      <w:pPr>
        <w:spacing w:after="0"/>
        <w:jc w:val="both"/>
        <w:rPr>
          <w:rFonts w:cstheme="minorHAnsi"/>
        </w:rPr>
      </w:pPr>
      <w:r w:rsidRPr="00CC6ACA">
        <w:rPr>
          <w:rFonts w:cstheme="minorHAnsi"/>
        </w:rPr>
        <w:t>7.2.1. Faglie attive e capaci (FAC)</w:t>
      </w:r>
    </w:p>
    <w:p w14:paraId="79ED53F7" w14:textId="77777777" w:rsidR="008B384C" w:rsidRPr="00CC6ACA" w:rsidRDefault="008B384C" w:rsidP="008B384C">
      <w:pPr>
        <w:spacing w:after="0"/>
        <w:jc w:val="both"/>
        <w:rPr>
          <w:rFonts w:cstheme="minorHAnsi"/>
        </w:rPr>
      </w:pPr>
      <w:r w:rsidRPr="00CC6ACA">
        <w:rPr>
          <w:rFonts w:cstheme="minorHAnsi"/>
        </w:rPr>
        <w:t>7.2.1.1. Analisi dei dati</w:t>
      </w:r>
    </w:p>
    <w:p w14:paraId="20BB1954" w14:textId="77777777" w:rsidR="008B384C" w:rsidRPr="00CC6ACA" w:rsidRDefault="008B384C" w:rsidP="008B384C">
      <w:pPr>
        <w:spacing w:after="0"/>
        <w:jc w:val="both"/>
        <w:rPr>
          <w:rFonts w:cstheme="minorHAnsi"/>
        </w:rPr>
      </w:pPr>
      <w:r w:rsidRPr="00CC6ACA">
        <w:rPr>
          <w:rFonts w:cstheme="minorHAnsi"/>
        </w:rPr>
        <w:t>Analisi dei dati di letteratura e di quelli acquisiti ex-novo (analisi e interpretazioni aerofotogrammetriche, rilievi geologici, indagini geofisiche e geognostiche, livellazioni topografiche di dettaglio).</w:t>
      </w:r>
    </w:p>
    <w:p w14:paraId="44C762E3" w14:textId="77777777" w:rsidR="008B384C" w:rsidRPr="00CC6ACA" w:rsidRDefault="008B384C" w:rsidP="008B384C">
      <w:pPr>
        <w:spacing w:after="0"/>
        <w:jc w:val="both"/>
        <w:rPr>
          <w:rFonts w:cstheme="minorHAnsi"/>
        </w:rPr>
      </w:pPr>
    </w:p>
    <w:p w14:paraId="30298139" w14:textId="77777777" w:rsidR="008B384C" w:rsidRPr="00CC6ACA" w:rsidRDefault="008B384C" w:rsidP="008B384C">
      <w:pPr>
        <w:spacing w:after="0"/>
        <w:jc w:val="both"/>
        <w:rPr>
          <w:rFonts w:cstheme="minorHAnsi"/>
        </w:rPr>
      </w:pPr>
      <w:r w:rsidRPr="00CC6ACA">
        <w:rPr>
          <w:rFonts w:cstheme="minorHAnsi"/>
        </w:rPr>
        <w:t>7.2.1.2. Risultati</w:t>
      </w:r>
    </w:p>
    <w:p w14:paraId="434F2A9E" w14:textId="77777777" w:rsidR="008B384C" w:rsidRPr="00CC6ACA" w:rsidRDefault="008B384C" w:rsidP="008B384C">
      <w:pPr>
        <w:spacing w:after="0"/>
        <w:jc w:val="both"/>
        <w:rPr>
          <w:rFonts w:cstheme="minorHAnsi"/>
        </w:rPr>
      </w:pPr>
      <w:r w:rsidRPr="00CC6ACA">
        <w:rPr>
          <w:rFonts w:cstheme="minorHAnsi"/>
        </w:rPr>
        <w:t xml:space="preserve">Traccia ipotetica delle FAC, delle rotture secondarie e dei fenomeni cosismici ad esse associate. Criticità e grado d’incertezza dei risultati. </w:t>
      </w:r>
    </w:p>
    <w:p w14:paraId="4F22D11B" w14:textId="77777777" w:rsidR="008B384C" w:rsidRPr="00CC6ACA" w:rsidRDefault="008B384C" w:rsidP="008B384C">
      <w:pPr>
        <w:spacing w:after="0"/>
        <w:jc w:val="both"/>
        <w:rPr>
          <w:rFonts w:cstheme="minorHAnsi"/>
        </w:rPr>
      </w:pPr>
    </w:p>
    <w:p w14:paraId="05BCCD42" w14:textId="77777777" w:rsidR="008B384C" w:rsidRPr="00CC6ACA" w:rsidRDefault="008B384C" w:rsidP="008B384C">
      <w:pPr>
        <w:spacing w:after="0"/>
        <w:jc w:val="both"/>
        <w:rPr>
          <w:rFonts w:cstheme="minorHAnsi"/>
        </w:rPr>
      </w:pPr>
      <w:r w:rsidRPr="00CC6ACA">
        <w:rPr>
          <w:rFonts w:cstheme="minorHAnsi"/>
        </w:rPr>
        <w:t>7.2.2. Liquefazioni (LQ)</w:t>
      </w:r>
    </w:p>
    <w:p w14:paraId="371B054A" w14:textId="77777777" w:rsidR="008B384C" w:rsidRPr="00CC6ACA" w:rsidRDefault="008B384C" w:rsidP="008B384C">
      <w:pPr>
        <w:spacing w:after="0"/>
        <w:jc w:val="both"/>
        <w:rPr>
          <w:rFonts w:cstheme="minorHAnsi"/>
        </w:rPr>
      </w:pPr>
      <w:r w:rsidRPr="00CC6ACA">
        <w:rPr>
          <w:rFonts w:cstheme="minorHAnsi"/>
        </w:rPr>
        <w:t>7.2.2.1 Analisi dei dati</w:t>
      </w:r>
    </w:p>
    <w:p w14:paraId="22A6B716" w14:textId="77777777" w:rsidR="008B384C" w:rsidRPr="00CC6ACA" w:rsidRDefault="008B384C" w:rsidP="008B384C">
      <w:pPr>
        <w:spacing w:after="0"/>
        <w:jc w:val="both"/>
        <w:rPr>
          <w:rFonts w:cstheme="minorHAnsi"/>
        </w:rPr>
      </w:pPr>
      <w:r w:rsidRPr="00CC6ACA">
        <w:rPr>
          <w:rFonts w:cstheme="minorHAnsi"/>
        </w:rPr>
        <w:t xml:space="preserve">Analisi dei dati di letteratura e di quelli acquisiti ex-novo (assetto stratigrafico, idrogeologia, parametri sismologici, segnalazioni di fenomeni di liquefazione avvenuti in passato). </w:t>
      </w:r>
    </w:p>
    <w:p w14:paraId="70CA7A3E" w14:textId="77777777" w:rsidR="008B384C" w:rsidRPr="00CC6ACA" w:rsidRDefault="008B384C" w:rsidP="008B384C">
      <w:pPr>
        <w:spacing w:after="0"/>
        <w:jc w:val="both"/>
        <w:rPr>
          <w:rFonts w:cstheme="minorHAnsi"/>
        </w:rPr>
      </w:pPr>
    </w:p>
    <w:p w14:paraId="22C07FA8" w14:textId="77777777" w:rsidR="008B384C" w:rsidRPr="00CC6ACA" w:rsidRDefault="008B384C" w:rsidP="008B384C">
      <w:pPr>
        <w:spacing w:after="0"/>
        <w:jc w:val="both"/>
        <w:rPr>
          <w:rFonts w:cstheme="minorHAnsi"/>
        </w:rPr>
      </w:pPr>
      <w:r w:rsidRPr="00CC6ACA">
        <w:rPr>
          <w:rFonts w:cstheme="minorHAnsi"/>
        </w:rPr>
        <w:t>7.2.2.2 Risultati</w:t>
      </w:r>
    </w:p>
    <w:p w14:paraId="4DEE0F7F" w14:textId="77777777" w:rsidR="008B384C" w:rsidRPr="00CC6ACA" w:rsidRDefault="0020352C" w:rsidP="008B384C">
      <w:pPr>
        <w:spacing w:after="0"/>
        <w:jc w:val="both"/>
        <w:rPr>
          <w:rFonts w:cstheme="minorHAnsi"/>
        </w:rPr>
      </w:pPr>
      <w:r w:rsidRPr="00CC6ACA">
        <w:rPr>
          <w:rFonts w:cstheme="minorHAnsi"/>
        </w:rPr>
        <w:t xml:space="preserve">Perimetrazione </w:t>
      </w:r>
      <w:r w:rsidR="008B384C" w:rsidRPr="00CC6ACA">
        <w:rPr>
          <w:rFonts w:cstheme="minorHAnsi"/>
        </w:rPr>
        <w:t xml:space="preserve">delle zone di attenzione rispetto al rischio liquefazione. </w:t>
      </w:r>
      <w:r w:rsidRPr="00CC6ACA">
        <w:rPr>
          <w:rFonts w:cstheme="minorHAnsi"/>
        </w:rPr>
        <w:t>Criticità e grado d’incertezza dei risultati.</w:t>
      </w:r>
    </w:p>
    <w:p w14:paraId="40D54F35" w14:textId="77777777" w:rsidR="008B384C" w:rsidRPr="00CC6ACA" w:rsidRDefault="008B384C" w:rsidP="008B384C">
      <w:pPr>
        <w:spacing w:after="0"/>
        <w:jc w:val="both"/>
        <w:rPr>
          <w:rFonts w:cstheme="minorHAnsi"/>
        </w:rPr>
      </w:pPr>
    </w:p>
    <w:p w14:paraId="524C7673" w14:textId="77777777" w:rsidR="008B384C" w:rsidRPr="00CC6ACA" w:rsidRDefault="008B384C" w:rsidP="008B384C">
      <w:pPr>
        <w:spacing w:after="0"/>
        <w:jc w:val="both"/>
        <w:rPr>
          <w:rFonts w:cstheme="minorHAnsi"/>
        </w:rPr>
      </w:pPr>
      <w:r w:rsidRPr="00CC6ACA">
        <w:rPr>
          <w:rFonts w:cstheme="minorHAnsi"/>
        </w:rPr>
        <w:t>7.2.3. Instabilità di versante sismoindott</w:t>
      </w:r>
      <w:r w:rsidR="001A65A3" w:rsidRPr="00CC6ACA">
        <w:rPr>
          <w:rFonts w:cstheme="minorHAnsi"/>
        </w:rPr>
        <w:t>e</w:t>
      </w:r>
      <w:r w:rsidRPr="00CC6ACA">
        <w:rPr>
          <w:rFonts w:cstheme="minorHAnsi"/>
        </w:rPr>
        <w:t xml:space="preserve"> (FR)</w:t>
      </w:r>
    </w:p>
    <w:p w14:paraId="5A68FD95" w14:textId="77777777" w:rsidR="008B384C" w:rsidRPr="00CC6ACA" w:rsidRDefault="008B384C" w:rsidP="008B384C">
      <w:pPr>
        <w:spacing w:after="0"/>
        <w:jc w:val="both"/>
        <w:rPr>
          <w:rFonts w:cstheme="minorHAnsi"/>
        </w:rPr>
      </w:pPr>
      <w:r w:rsidRPr="00CC6ACA">
        <w:rPr>
          <w:rFonts w:cstheme="minorHAnsi"/>
        </w:rPr>
        <w:t>7.2.3.1 Analisi dei dati</w:t>
      </w:r>
    </w:p>
    <w:p w14:paraId="08D514E0" w14:textId="77777777" w:rsidR="008B384C" w:rsidRPr="00CC6ACA" w:rsidRDefault="008B384C" w:rsidP="008B384C">
      <w:pPr>
        <w:spacing w:after="0"/>
        <w:jc w:val="both"/>
        <w:rPr>
          <w:rFonts w:cstheme="minorHAnsi"/>
        </w:rPr>
      </w:pPr>
      <w:r w:rsidRPr="00CC6ACA">
        <w:rPr>
          <w:rFonts w:cstheme="minorHAnsi"/>
        </w:rPr>
        <w:t>Analisi dei dati di letteratura e di quelli acquisiti ex-novo (analisi e interpretazioni aerofotogrammetriche, rilievi geologici, indagini geognostiche, geotecniche e geofisiche, livellazioni topografiche di dettaglio, misure inclinometriche, misure di pressione interstiziale, etc.).</w:t>
      </w:r>
    </w:p>
    <w:p w14:paraId="718E7D62" w14:textId="77777777" w:rsidR="008B384C" w:rsidRPr="00CC6ACA" w:rsidRDefault="008B384C" w:rsidP="008B384C">
      <w:pPr>
        <w:spacing w:after="0"/>
        <w:jc w:val="both"/>
        <w:rPr>
          <w:rFonts w:cstheme="minorHAnsi"/>
        </w:rPr>
      </w:pPr>
    </w:p>
    <w:p w14:paraId="026D18A8" w14:textId="77777777" w:rsidR="008B384C" w:rsidRPr="00CC6ACA" w:rsidRDefault="008B384C" w:rsidP="008B384C">
      <w:pPr>
        <w:spacing w:after="0"/>
        <w:jc w:val="both"/>
        <w:rPr>
          <w:rFonts w:cstheme="minorHAnsi"/>
        </w:rPr>
      </w:pPr>
      <w:r w:rsidRPr="00CC6ACA">
        <w:rPr>
          <w:rFonts w:cstheme="minorHAnsi"/>
        </w:rPr>
        <w:t>7.2.3.2 Risultati</w:t>
      </w:r>
    </w:p>
    <w:p w14:paraId="2E57A8D8" w14:textId="77777777" w:rsidR="008B384C" w:rsidRPr="00CC6ACA" w:rsidRDefault="008B384C" w:rsidP="008B384C">
      <w:pPr>
        <w:spacing w:after="0"/>
        <w:jc w:val="both"/>
        <w:rPr>
          <w:rFonts w:cstheme="minorHAnsi"/>
        </w:rPr>
      </w:pPr>
      <w:r w:rsidRPr="00CC6ACA">
        <w:rPr>
          <w:rFonts w:cstheme="minorHAnsi"/>
        </w:rPr>
        <w:t>Perimetrazione delle aree in frana; in presenza di frane attive, ove sussista la disponibilità di dati, riportare informazioni su: volumi potenzialmente instabili, entità e velocità dei movimenti, distribuzione del regime delle pressioni interstiziali, parametri di resistenza al taglio. Criticità e grado d’incertezza dei risultati.</w:t>
      </w:r>
    </w:p>
    <w:p w14:paraId="7AFB154C" w14:textId="77777777" w:rsidR="008B384C" w:rsidRPr="00CC6ACA" w:rsidRDefault="008B384C" w:rsidP="008B384C">
      <w:pPr>
        <w:spacing w:after="0"/>
        <w:jc w:val="both"/>
        <w:rPr>
          <w:rFonts w:cstheme="minorHAnsi"/>
        </w:rPr>
      </w:pPr>
      <w:r w:rsidRPr="00CC6ACA">
        <w:rPr>
          <w:rFonts w:cstheme="minorHAnsi"/>
        </w:rPr>
        <w:lastRenderedPageBreak/>
        <w:t>8. Elaborati cartografici (</w:t>
      </w:r>
      <w:r w:rsidRPr="00CC6ACA">
        <w:rPr>
          <w:rFonts w:cstheme="minorHAnsi"/>
          <w:vertAlign w:val="superscript"/>
        </w:rPr>
        <w:t>2</w:t>
      </w:r>
      <w:r w:rsidRPr="00CC6ACA">
        <w:rPr>
          <w:rFonts w:cstheme="minorHAnsi"/>
        </w:rPr>
        <w:t>)</w:t>
      </w:r>
    </w:p>
    <w:p w14:paraId="0D6CFA53" w14:textId="77777777" w:rsidR="00FC6384" w:rsidRPr="00CC6ACA" w:rsidRDefault="00FC6384" w:rsidP="008B384C">
      <w:pPr>
        <w:spacing w:after="0"/>
        <w:jc w:val="both"/>
        <w:rPr>
          <w:rFonts w:cstheme="minorHAnsi"/>
        </w:rPr>
      </w:pPr>
    </w:p>
    <w:p w14:paraId="28CC036B" w14:textId="77777777" w:rsidR="008B384C" w:rsidRPr="00CC6ACA" w:rsidRDefault="008B384C" w:rsidP="008B384C">
      <w:pPr>
        <w:spacing w:after="0"/>
        <w:jc w:val="both"/>
        <w:rPr>
          <w:rFonts w:cstheme="minorHAnsi"/>
        </w:rPr>
      </w:pPr>
      <w:r w:rsidRPr="00CC6ACA">
        <w:rPr>
          <w:rFonts w:cstheme="minorHAnsi"/>
        </w:rPr>
        <w:t>8.1. Carta delle indagini (CI)</w:t>
      </w:r>
    </w:p>
    <w:p w14:paraId="35ABDB5D" w14:textId="77777777" w:rsidR="008B384C" w:rsidRPr="00CC6ACA" w:rsidRDefault="008B384C" w:rsidP="008B384C">
      <w:pPr>
        <w:spacing w:after="0"/>
        <w:jc w:val="both"/>
        <w:rPr>
          <w:rFonts w:cstheme="minorHAnsi"/>
        </w:rPr>
      </w:pPr>
      <w:r w:rsidRPr="00CC6ACA">
        <w:rPr>
          <w:rFonts w:cstheme="minorHAnsi"/>
        </w:rPr>
        <w:t>Descrizione della distribuzione delle indagini, distinguendole tra pregresse e realizzate ex-novo; presentazione di una tabella schematica riassuntiva per tipologia e quantità di indagini.</w:t>
      </w:r>
    </w:p>
    <w:p w14:paraId="1D0B612B" w14:textId="77777777" w:rsidR="008B384C" w:rsidRPr="00CC6ACA" w:rsidRDefault="008B384C" w:rsidP="008B384C">
      <w:pPr>
        <w:spacing w:after="0"/>
        <w:jc w:val="both"/>
        <w:rPr>
          <w:rFonts w:cstheme="minorHAnsi"/>
        </w:rPr>
      </w:pPr>
    </w:p>
    <w:p w14:paraId="589B750D" w14:textId="77777777" w:rsidR="008B384C" w:rsidRPr="00CC6ACA" w:rsidRDefault="008B384C" w:rsidP="008B384C">
      <w:pPr>
        <w:spacing w:after="0"/>
        <w:jc w:val="both"/>
        <w:rPr>
          <w:rFonts w:cstheme="minorHAnsi"/>
        </w:rPr>
      </w:pPr>
      <w:r w:rsidRPr="00CC6ACA">
        <w:rPr>
          <w:rFonts w:cstheme="minorHAnsi"/>
        </w:rPr>
        <w:t>8.2. Carta delle frequenze naturali dei terreni</w:t>
      </w:r>
    </w:p>
    <w:p w14:paraId="5EE66A08" w14:textId="77777777" w:rsidR="008B384C" w:rsidRPr="00CC6ACA" w:rsidRDefault="008B384C" w:rsidP="008B384C">
      <w:pPr>
        <w:spacing w:after="0"/>
        <w:jc w:val="both"/>
        <w:rPr>
          <w:rFonts w:cstheme="minorHAnsi"/>
        </w:rPr>
      </w:pPr>
      <w:r w:rsidRPr="00CC6ACA">
        <w:rPr>
          <w:rFonts w:cstheme="minorHAnsi"/>
        </w:rPr>
        <w:t>Criteri adottati per la costruzione della carta delle frequenze; descrizione delle possibili interpretazioni geologico stratigrafiche associabili alle frequenze fondamentali rilevate con esempi illustrativi; tabella riassuntiva con riportati i valori di frequenza ed ampiezza dei picchi H/V per ogni misura. Illustrare le eventuali differenze (se presenti) rispetto alla Carta delle Frequenze realizzata nel livello 1, sulla base di eventuali nuovi dati acquisiti.</w:t>
      </w:r>
    </w:p>
    <w:p w14:paraId="487EADD7" w14:textId="77777777" w:rsidR="008B384C" w:rsidRPr="00CC6ACA" w:rsidRDefault="008B384C" w:rsidP="008B384C">
      <w:pPr>
        <w:spacing w:after="0"/>
        <w:jc w:val="both"/>
        <w:rPr>
          <w:rFonts w:cstheme="minorHAnsi"/>
        </w:rPr>
      </w:pPr>
    </w:p>
    <w:p w14:paraId="3EDFF164" w14:textId="77777777" w:rsidR="008B384C" w:rsidRPr="00CC6ACA" w:rsidRDefault="008B384C" w:rsidP="008B384C">
      <w:pPr>
        <w:spacing w:after="0"/>
        <w:jc w:val="both"/>
        <w:rPr>
          <w:rFonts w:cstheme="minorHAnsi"/>
        </w:rPr>
      </w:pPr>
      <w:r w:rsidRPr="00CC6ACA">
        <w:rPr>
          <w:rFonts w:cstheme="minorHAnsi"/>
        </w:rPr>
        <w:t>8.3. Carta Geologico Tecnica per la MS (CGT_MS)</w:t>
      </w:r>
    </w:p>
    <w:p w14:paraId="303C4C77" w14:textId="77777777" w:rsidR="008B384C" w:rsidRPr="00CC6ACA" w:rsidRDefault="008B384C" w:rsidP="008B384C">
      <w:pPr>
        <w:spacing w:after="0"/>
        <w:jc w:val="both"/>
        <w:rPr>
          <w:rFonts w:cstheme="minorHAnsi"/>
        </w:rPr>
      </w:pPr>
      <w:r w:rsidRPr="00CC6ACA">
        <w:rPr>
          <w:rFonts w:cstheme="minorHAnsi"/>
        </w:rPr>
        <w:t>Descrizione delle unità di substrato geologico e dei terreni di copertura. Segnalare la presenza di aree con coperture di spessore inferiore a 3 m e non cartografabili. Descrizione delle tipologie di instabilità e degli elementi lineari e puntuali che si ritengano utili per gli studi di MS. Illustrare le differenze della nuova carta Geologico Tecnica rispetto a quella realizzata nel livello 1, sulla base dei nuovi dati acquisiti.</w:t>
      </w:r>
    </w:p>
    <w:p w14:paraId="144E417B" w14:textId="77777777" w:rsidR="008B384C" w:rsidRPr="00CC6ACA" w:rsidRDefault="008B384C" w:rsidP="008B384C">
      <w:pPr>
        <w:spacing w:after="0"/>
        <w:jc w:val="both"/>
        <w:rPr>
          <w:rFonts w:cstheme="minorHAnsi"/>
        </w:rPr>
      </w:pPr>
    </w:p>
    <w:p w14:paraId="1932D3C4" w14:textId="77777777" w:rsidR="008B384C" w:rsidRPr="00CC6ACA" w:rsidRDefault="008B384C" w:rsidP="008B384C">
      <w:pPr>
        <w:spacing w:after="0"/>
        <w:jc w:val="both"/>
        <w:rPr>
          <w:rFonts w:cstheme="minorHAnsi"/>
        </w:rPr>
      </w:pPr>
      <w:r w:rsidRPr="00CC6ACA">
        <w:rPr>
          <w:rFonts w:cstheme="minorHAnsi"/>
        </w:rPr>
        <w:t>8.4. Carta delle Microzone Omogenee in Prospettiva Sismica (MOPS)</w:t>
      </w:r>
    </w:p>
    <w:p w14:paraId="4DF2D600" w14:textId="77777777" w:rsidR="008B384C" w:rsidRPr="00CC6ACA" w:rsidRDefault="008B384C" w:rsidP="008B384C">
      <w:pPr>
        <w:spacing w:after="0"/>
        <w:jc w:val="both"/>
        <w:rPr>
          <w:rFonts w:cstheme="minorHAnsi"/>
        </w:rPr>
      </w:pPr>
      <w:r w:rsidRPr="00CC6ACA">
        <w:rPr>
          <w:rFonts w:cstheme="minorHAnsi"/>
        </w:rPr>
        <w:t>Descrizione degli aggiornamenti/revisioni (se presenti) apportate alla Carta delle MOPS prodotta nella Microzonazione di 1° livello, sulla base dei nuovi dati acquisiti. Descrizione delle zone stabili, stabili suscettibili di amplificazioni locali e instabili, nonché degli elementi superficiali (orli di scarpate, creste morfologiche) e sepolti (faglie, paleovalli, cavità). Riportare gli schemi dei rapporti litostratigrafici (colonne stratigrafiche) per le singole microzone nonché i profili topografici in grado di condizionare la risposta sismica. Illustrare le differenze della nuova carta delle MOPS rispetto a quella realizzata nel livello 1, sulla base dei nuovi dati acquisiti.</w:t>
      </w:r>
    </w:p>
    <w:p w14:paraId="7808A8FF" w14:textId="77777777" w:rsidR="008B384C" w:rsidRPr="00CC6ACA" w:rsidRDefault="008B384C" w:rsidP="008B384C">
      <w:pPr>
        <w:spacing w:after="0"/>
        <w:jc w:val="both"/>
        <w:rPr>
          <w:rFonts w:cstheme="minorHAnsi"/>
        </w:rPr>
      </w:pPr>
    </w:p>
    <w:p w14:paraId="7F482728" w14:textId="77777777" w:rsidR="008B384C" w:rsidRPr="00CC6ACA" w:rsidRDefault="008B384C" w:rsidP="008B384C">
      <w:pPr>
        <w:spacing w:after="0"/>
        <w:jc w:val="both"/>
        <w:rPr>
          <w:rFonts w:cstheme="minorHAnsi"/>
        </w:rPr>
      </w:pPr>
      <w:r w:rsidRPr="00CC6ACA">
        <w:rPr>
          <w:rFonts w:cstheme="minorHAnsi"/>
        </w:rPr>
        <w:t>8.5. Carte di Microzonazione Sismica (con approfondimenti) (</w:t>
      </w:r>
      <w:r w:rsidRPr="00CC6ACA">
        <w:rPr>
          <w:rFonts w:cstheme="minorHAnsi"/>
          <w:vertAlign w:val="superscript"/>
        </w:rPr>
        <w:t>3</w:t>
      </w:r>
      <w:r w:rsidRPr="00CC6ACA">
        <w:rPr>
          <w:rFonts w:cstheme="minorHAnsi"/>
        </w:rPr>
        <w:t>)</w:t>
      </w:r>
    </w:p>
    <w:p w14:paraId="0E1338B9" w14:textId="77777777" w:rsidR="008B384C" w:rsidRPr="00CC6ACA" w:rsidRDefault="008B384C" w:rsidP="008B384C">
      <w:pPr>
        <w:spacing w:after="0"/>
        <w:jc w:val="both"/>
        <w:rPr>
          <w:rFonts w:cstheme="minorHAnsi"/>
        </w:rPr>
      </w:pPr>
      <w:r w:rsidRPr="00CC6ACA">
        <w:rPr>
          <w:rFonts w:cstheme="minorHAnsi"/>
        </w:rPr>
        <w:t>Descrizione degli accelerogrammi in superficie e degli spettri di risposta (ove e se calcolati). Descrizione dei fattori di amplificazione per tutte le microzone. Definizione della categoria di sottosuolo da NTC e indicazione del valore di V</w:t>
      </w:r>
      <w:r w:rsidRPr="00CC6ACA">
        <w:rPr>
          <w:rFonts w:cstheme="minorHAnsi"/>
          <w:vertAlign w:val="subscript"/>
        </w:rPr>
        <w:t>S30</w:t>
      </w:r>
      <w:r w:rsidRPr="00CC6ACA">
        <w:rPr>
          <w:rFonts w:cstheme="minorHAnsi"/>
        </w:rPr>
        <w:t xml:space="preserve"> per tutte le microzone. Indicazione di eventuali amplificazioni del moto sismico che possono essere indotte da particolari condizioni geologiche e geomorfologiche locali.</w:t>
      </w:r>
    </w:p>
    <w:p w14:paraId="1273C92E" w14:textId="77777777" w:rsidR="008B384C" w:rsidRPr="00CC6ACA" w:rsidRDefault="008B384C" w:rsidP="008B384C">
      <w:pPr>
        <w:spacing w:after="0"/>
        <w:jc w:val="both"/>
        <w:rPr>
          <w:rFonts w:cstheme="minorHAnsi"/>
        </w:rPr>
      </w:pPr>
    </w:p>
    <w:p w14:paraId="7EF9B77C" w14:textId="77777777" w:rsidR="008B384C" w:rsidRPr="00CC6ACA" w:rsidRDefault="008B384C" w:rsidP="008B384C">
      <w:pPr>
        <w:spacing w:after="0"/>
        <w:jc w:val="both"/>
        <w:rPr>
          <w:rFonts w:cstheme="minorHAnsi"/>
        </w:rPr>
      </w:pPr>
      <w:r w:rsidRPr="00CC6ACA">
        <w:rPr>
          <w:rFonts w:cstheme="minorHAnsi"/>
        </w:rPr>
        <w:t>8.6. Commenti finali e criticità</w:t>
      </w:r>
    </w:p>
    <w:p w14:paraId="4D00FEB7" w14:textId="77777777" w:rsidR="008B384C" w:rsidRPr="00CC6ACA" w:rsidRDefault="008B384C" w:rsidP="008B384C">
      <w:pPr>
        <w:spacing w:after="0"/>
        <w:jc w:val="both"/>
        <w:rPr>
          <w:rFonts w:cstheme="minorHAnsi"/>
        </w:rPr>
      </w:pPr>
      <w:r w:rsidRPr="00CC6ACA">
        <w:rPr>
          <w:rFonts w:cstheme="minorHAnsi"/>
        </w:rPr>
        <w:t>Evidenziare le aree per le quali, sulla base dei dati disponibili, sussistono incertezze circa le caratteristiche della risposta sismica e delle deformazioni cosismiche attese.</w:t>
      </w:r>
    </w:p>
    <w:p w14:paraId="3A389742" w14:textId="77777777" w:rsidR="008B384C" w:rsidRPr="00CC6ACA" w:rsidRDefault="008B384C" w:rsidP="008B384C">
      <w:pPr>
        <w:spacing w:after="0"/>
        <w:jc w:val="both"/>
        <w:rPr>
          <w:rFonts w:cstheme="minorHAnsi"/>
        </w:rPr>
      </w:pPr>
    </w:p>
    <w:p w14:paraId="280FA495" w14:textId="77777777" w:rsidR="008B384C" w:rsidRPr="00CC6ACA" w:rsidRDefault="008B384C" w:rsidP="008B384C">
      <w:pPr>
        <w:spacing w:after="0"/>
        <w:jc w:val="both"/>
        <w:rPr>
          <w:rFonts w:cstheme="minorHAnsi"/>
        </w:rPr>
      </w:pPr>
      <w:r w:rsidRPr="00CC6ACA">
        <w:rPr>
          <w:rFonts w:cstheme="minorHAnsi"/>
        </w:rPr>
        <w:t xml:space="preserve">9. </w:t>
      </w:r>
      <w:r w:rsidRPr="00CC6ACA">
        <w:rPr>
          <w:rFonts w:cstheme="minorHAnsi"/>
          <w:i/>
          <w:iCs/>
        </w:rPr>
        <w:t>Confronto con la distribuzione dei danni degli eventi passati</w:t>
      </w:r>
    </w:p>
    <w:p w14:paraId="7B29A74A" w14:textId="77777777" w:rsidR="008B384C" w:rsidRPr="00CC6ACA" w:rsidRDefault="008B384C" w:rsidP="008B384C">
      <w:pPr>
        <w:spacing w:after="0"/>
        <w:jc w:val="both"/>
        <w:rPr>
          <w:rFonts w:cstheme="minorHAnsi"/>
        </w:rPr>
      </w:pPr>
      <w:r w:rsidRPr="00CC6ACA">
        <w:rPr>
          <w:rFonts w:cstheme="minorHAnsi"/>
        </w:rPr>
        <w:t>Se disponibili, confronto con la distribuzione dei danni per eventi passati e note sulla vulnerabilità delle strutture coinvolte.</w:t>
      </w:r>
    </w:p>
    <w:p w14:paraId="0803C6CF" w14:textId="77777777" w:rsidR="00FC6384" w:rsidRPr="00CC6ACA" w:rsidRDefault="00FC6384" w:rsidP="008B384C">
      <w:pPr>
        <w:spacing w:after="0"/>
        <w:jc w:val="both"/>
        <w:rPr>
          <w:rFonts w:cstheme="minorHAnsi"/>
        </w:rPr>
      </w:pPr>
    </w:p>
    <w:p w14:paraId="13EEAFAB" w14:textId="77777777" w:rsidR="00FC6384" w:rsidRPr="00CC6ACA" w:rsidRDefault="00FC6384" w:rsidP="00FC6384">
      <w:pPr>
        <w:spacing w:after="0"/>
        <w:jc w:val="both"/>
        <w:rPr>
          <w:rFonts w:cstheme="minorHAnsi"/>
        </w:rPr>
      </w:pPr>
      <w:r w:rsidRPr="00CC6ACA">
        <w:rPr>
          <w:rFonts w:cstheme="minorHAnsi"/>
        </w:rPr>
        <w:t>____________________</w:t>
      </w:r>
    </w:p>
    <w:p w14:paraId="46D5FD00" w14:textId="77777777" w:rsidR="00FC6384" w:rsidRPr="00CC6ACA" w:rsidRDefault="00FC6384" w:rsidP="00FC6384">
      <w:pPr>
        <w:spacing w:after="0"/>
        <w:jc w:val="both"/>
        <w:rPr>
          <w:rFonts w:cstheme="minorHAnsi"/>
        </w:rPr>
      </w:pPr>
      <w:r w:rsidRPr="00CC6ACA">
        <w:rPr>
          <w:rFonts w:cstheme="minorHAnsi"/>
        </w:rPr>
        <w:t>(</w:t>
      </w:r>
      <w:r w:rsidRPr="00CC6ACA">
        <w:rPr>
          <w:rFonts w:cstheme="minorHAnsi"/>
          <w:vertAlign w:val="superscript"/>
        </w:rPr>
        <w:t>2</w:t>
      </w:r>
      <w:r w:rsidRPr="00CC6ACA">
        <w:rPr>
          <w:rFonts w:cstheme="minorHAnsi"/>
        </w:rPr>
        <w:t>) Per maggiori dettagli su struttura e contenuto di questo capitolo si consultino le indicazioni degli Standard di Rappresentazione ed Archiviazione informatica 4.2 – pagg. 50-51.</w:t>
      </w:r>
    </w:p>
    <w:p w14:paraId="1A57C697" w14:textId="77777777" w:rsidR="00FC6384" w:rsidRPr="00CC6ACA" w:rsidRDefault="00FC6384" w:rsidP="00FC6384">
      <w:pPr>
        <w:spacing w:after="0"/>
        <w:jc w:val="both"/>
        <w:rPr>
          <w:rFonts w:cstheme="minorHAnsi"/>
        </w:rPr>
      </w:pPr>
      <w:r w:rsidRPr="00CC6ACA">
        <w:rPr>
          <w:rFonts w:cstheme="minorHAnsi"/>
        </w:rPr>
        <w:t>(</w:t>
      </w:r>
      <w:r w:rsidRPr="00CC6ACA">
        <w:rPr>
          <w:rFonts w:cstheme="minorHAnsi"/>
          <w:vertAlign w:val="superscript"/>
        </w:rPr>
        <w:t>3</w:t>
      </w:r>
      <w:r w:rsidRPr="00CC6ACA">
        <w:rPr>
          <w:rFonts w:cstheme="minorHAnsi"/>
        </w:rPr>
        <w:t>) La specificazione “con approfondimenti” va aggiunta nel caso in cui lo studio di Microzonazione Sismica sia stato condotto con livello di approfondimento 3.</w:t>
      </w:r>
    </w:p>
    <w:p w14:paraId="346A3D50" w14:textId="77777777" w:rsidR="00FC6384" w:rsidRPr="00CC6ACA" w:rsidRDefault="00FC6384" w:rsidP="008B384C">
      <w:pPr>
        <w:spacing w:after="0"/>
        <w:jc w:val="both"/>
        <w:rPr>
          <w:rFonts w:cstheme="minorHAnsi"/>
        </w:rPr>
      </w:pPr>
    </w:p>
    <w:p w14:paraId="6ABEF137" w14:textId="77777777" w:rsidR="008B384C" w:rsidRPr="00CC6ACA" w:rsidRDefault="008B384C" w:rsidP="008B384C">
      <w:pPr>
        <w:spacing w:after="0"/>
        <w:jc w:val="both"/>
        <w:rPr>
          <w:rFonts w:cstheme="minorHAnsi"/>
          <w:i/>
          <w:iCs/>
        </w:rPr>
      </w:pPr>
      <w:r w:rsidRPr="00CC6ACA">
        <w:rPr>
          <w:rFonts w:cstheme="minorHAnsi"/>
        </w:rPr>
        <w:t xml:space="preserve">10. </w:t>
      </w:r>
      <w:r w:rsidRPr="00CC6ACA">
        <w:rPr>
          <w:rFonts w:cstheme="minorHAnsi"/>
          <w:i/>
          <w:iCs/>
        </w:rPr>
        <w:t>Bibliografia</w:t>
      </w:r>
    </w:p>
    <w:p w14:paraId="3A38ABF0" w14:textId="77777777" w:rsidR="008B384C" w:rsidRPr="00CC6ACA" w:rsidRDefault="008B384C" w:rsidP="008B384C">
      <w:pPr>
        <w:spacing w:after="0"/>
        <w:jc w:val="both"/>
        <w:rPr>
          <w:rFonts w:cstheme="minorHAnsi"/>
        </w:rPr>
      </w:pPr>
      <w:r w:rsidRPr="00CC6ACA">
        <w:rPr>
          <w:rFonts w:cstheme="minorHAnsi"/>
        </w:rPr>
        <w:t>Riportare tutti i riferimenti scientifici e tecnici consultati per la redazione della relazione e per la realizzazione dello studio.</w:t>
      </w:r>
    </w:p>
    <w:p w14:paraId="2B28F1AD" w14:textId="77777777" w:rsidR="008B384C" w:rsidRPr="00CC6ACA" w:rsidRDefault="008B384C" w:rsidP="008B384C">
      <w:pPr>
        <w:spacing w:after="0"/>
        <w:jc w:val="both"/>
        <w:rPr>
          <w:rFonts w:cstheme="minorHAnsi"/>
        </w:rPr>
      </w:pPr>
    </w:p>
    <w:p w14:paraId="5CCC4B5E" w14:textId="77777777" w:rsidR="008B384C" w:rsidRPr="00CC6ACA" w:rsidRDefault="008B384C" w:rsidP="008B384C">
      <w:pPr>
        <w:spacing w:after="0"/>
        <w:jc w:val="both"/>
        <w:rPr>
          <w:rFonts w:cstheme="minorHAnsi"/>
        </w:rPr>
      </w:pPr>
      <w:r w:rsidRPr="00CC6ACA">
        <w:rPr>
          <w:rFonts w:cstheme="minorHAnsi"/>
        </w:rPr>
        <w:t>11</w:t>
      </w:r>
      <w:r w:rsidRPr="00CC6ACA">
        <w:rPr>
          <w:rFonts w:cstheme="minorHAnsi"/>
          <w:i/>
          <w:iCs/>
        </w:rPr>
        <w:t>. Allegati</w:t>
      </w:r>
    </w:p>
    <w:p w14:paraId="247446F7" w14:textId="77777777" w:rsidR="008B384C" w:rsidRPr="00CC6ACA" w:rsidRDefault="008B384C" w:rsidP="008B384C">
      <w:pPr>
        <w:spacing w:after="0"/>
        <w:jc w:val="both"/>
        <w:rPr>
          <w:rFonts w:cstheme="minorHAnsi"/>
        </w:rPr>
      </w:pPr>
      <w:r w:rsidRPr="00CC6ACA">
        <w:rPr>
          <w:rFonts w:cstheme="minorHAnsi"/>
        </w:rPr>
        <w:t xml:space="preserve">11.1 Carta delle indagini </w:t>
      </w:r>
    </w:p>
    <w:p w14:paraId="1BD34833" w14:textId="77777777" w:rsidR="008B384C" w:rsidRPr="00CC6ACA" w:rsidRDefault="008B384C" w:rsidP="008B384C">
      <w:pPr>
        <w:spacing w:after="0"/>
        <w:jc w:val="both"/>
        <w:rPr>
          <w:rFonts w:cstheme="minorHAnsi"/>
        </w:rPr>
      </w:pPr>
      <w:r w:rsidRPr="00CC6ACA">
        <w:rPr>
          <w:rFonts w:cstheme="minorHAnsi"/>
        </w:rPr>
        <w:t>11.2 Relazioni tecniche delle indagini geofisiche e geotecniche svolte</w:t>
      </w:r>
    </w:p>
    <w:p w14:paraId="13859789" w14:textId="77777777" w:rsidR="008B384C" w:rsidRPr="00CC6ACA" w:rsidRDefault="008B384C" w:rsidP="008B384C">
      <w:pPr>
        <w:spacing w:after="0"/>
        <w:jc w:val="both"/>
        <w:rPr>
          <w:rFonts w:cstheme="minorHAnsi"/>
        </w:rPr>
      </w:pPr>
      <w:r w:rsidRPr="00CC6ACA">
        <w:rPr>
          <w:rFonts w:cstheme="minorHAnsi"/>
        </w:rPr>
        <w:t xml:space="preserve">11.3 Carta delle frequenze naturali dei terreni </w:t>
      </w:r>
    </w:p>
    <w:p w14:paraId="07130F6E" w14:textId="77777777" w:rsidR="008B384C" w:rsidRPr="00CC6ACA" w:rsidRDefault="008B384C" w:rsidP="008B384C">
      <w:pPr>
        <w:spacing w:after="0"/>
        <w:jc w:val="both"/>
        <w:rPr>
          <w:rFonts w:cstheme="minorHAnsi"/>
        </w:rPr>
      </w:pPr>
      <w:r w:rsidRPr="00CC6ACA">
        <w:rPr>
          <w:rFonts w:cstheme="minorHAnsi"/>
        </w:rPr>
        <w:t>11.4 Carta Geologico-Tecnica per la MS (CGT_MS) e relative sezioni</w:t>
      </w:r>
    </w:p>
    <w:p w14:paraId="0143AC55" w14:textId="77777777" w:rsidR="008B384C" w:rsidRPr="00CC6ACA" w:rsidRDefault="008B384C" w:rsidP="008B384C">
      <w:pPr>
        <w:spacing w:after="0"/>
        <w:jc w:val="both"/>
        <w:rPr>
          <w:rFonts w:cstheme="minorHAnsi"/>
        </w:rPr>
      </w:pPr>
      <w:r w:rsidRPr="00CC6ACA">
        <w:rPr>
          <w:rFonts w:cstheme="minorHAnsi"/>
        </w:rPr>
        <w:t>11.5 Carta delle Microzone Omogenee in Prospettiva Sismica (MOPS) con eventuali modifiche</w:t>
      </w:r>
    </w:p>
    <w:p w14:paraId="1C36E34A" w14:textId="3159E25C" w:rsidR="009932EC" w:rsidRDefault="008B384C" w:rsidP="008B384C">
      <w:pPr>
        <w:spacing w:after="0"/>
        <w:jc w:val="both"/>
        <w:rPr>
          <w:rFonts w:cstheme="minorHAnsi"/>
        </w:rPr>
      </w:pPr>
      <w:r w:rsidRPr="00CC6ACA">
        <w:rPr>
          <w:rFonts w:cstheme="minorHAnsi"/>
        </w:rPr>
        <w:t>11.6 Carta di Microzonazione Sismica</w:t>
      </w:r>
    </w:p>
    <w:p w14:paraId="604DBBD6" w14:textId="77777777" w:rsidR="009932EC" w:rsidRDefault="009932EC">
      <w:pPr>
        <w:spacing w:after="200" w:line="276" w:lineRule="auto"/>
        <w:rPr>
          <w:rFonts w:cstheme="minorHAnsi"/>
        </w:rPr>
      </w:pPr>
      <w:r>
        <w:rPr>
          <w:rFonts w:cstheme="minorHAnsi"/>
        </w:rPr>
        <w:br w:type="page"/>
      </w:r>
    </w:p>
    <w:p w14:paraId="50B7AC4D" w14:textId="77777777" w:rsidR="008B384C" w:rsidRPr="00CC6ACA" w:rsidRDefault="008B384C" w:rsidP="008B384C">
      <w:pPr>
        <w:spacing w:after="0"/>
        <w:jc w:val="both"/>
        <w:rPr>
          <w:rFonts w:cstheme="minorHAnsi"/>
        </w:rPr>
      </w:pPr>
    </w:p>
    <w:p w14:paraId="2C5BC18F" w14:textId="3F5C8700" w:rsidR="009932EC" w:rsidRPr="00B0726E" w:rsidRDefault="009932EC" w:rsidP="009932EC">
      <w:pPr>
        <w:spacing w:after="0"/>
        <w:jc w:val="both"/>
        <w:rPr>
          <w:rFonts w:cstheme="minorHAnsi"/>
          <w:b/>
        </w:rPr>
      </w:pPr>
      <w:r w:rsidRPr="00B0726E">
        <w:rPr>
          <w:rFonts w:cstheme="minorHAnsi"/>
          <w:b/>
        </w:rPr>
        <w:t>Allegato 2 - Autocertificazione sugli incarichi ottenuti</w:t>
      </w:r>
      <w:r w:rsidR="00B0726E" w:rsidRPr="00B0726E">
        <w:rPr>
          <w:rFonts w:cstheme="minorHAnsi"/>
          <w:b/>
        </w:rPr>
        <w:t xml:space="preserve"> (da compilare </w:t>
      </w:r>
      <w:r w:rsidR="00CB062D">
        <w:rPr>
          <w:rFonts w:cstheme="minorHAnsi"/>
          <w:b/>
        </w:rPr>
        <w:t xml:space="preserve">a cura </w:t>
      </w:r>
      <w:r w:rsidR="00B0726E" w:rsidRPr="00B0726E">
        <w:rPr>
          <w:rFonts w:cstheme="minorHAnsi"/>
          <w:b/>
        </w:rPr>
        <w:t>d</w:t>
      </w:r>
      <w:r w:rsidR="00CB062D">
        <w:rPr>
          <w:rFonts w:cstheme="minorHAnsi"/>
          <w:b/>
        </w:rPr>
        <w:t>i</w:t>
      </w:r>
      <w:r w:rsidR="00B0726E" w:rsidRPr="00B0726E">
        <w:rPr>
          <w:rFonts w:cstheme="minorHAnsi"/>
          <w:b/>
        </w:rPr>
        <w:t xml:space="preserve"> ogni membro del</w:t>
      </w:r>
      <w:r w:rsidR="00815BA4">
        <w:rPr>
          <w:rFonts w:cstheme="minorHAnsi"/>
          <w:b/>
        </w:rPr>
        <w:t>lo</w:t>
      </w:r>
      <w:r w:rsidR="00B0726E" w:rsidRPr="00B0726E">
        <w:rPr>
          <w:rFonts w:cstheme="minorHAnsi"/>
          <w:b/>
        </w:rPr>
        <w:t xml:space="preserve"> </w:t>
      </w:r>
      <w:r w:rsidR="00815BA4">
        <w:rPr>
          <w:rFonts w:cstheme="minorHAnsi"/>
          <w:b/>
        </w:rPr>
        <w:t>staff del soggetto affidatario</w:t>
      </w:r>
      <w:r w:rsidR="00B0726E" w:rsidRPr="00B0726E">
        <w:rPr>
          <w:rFonts w:cstheme="minorHAnsi"/>
          <w:b/>
        </w:rPr>
        <w:t>)</w:t>
      </w:r>
    </w:p>
    <w:p w14:paraId="00BA6062" w14:textId="739EBC3E" w:rsidR="008B384C" w:rsidRPr="00B0726E" w:rsidRDefault="008B384C" w:rsidP="008B384C">
      <w:pPr>
        <w:rPr>
          <w:rFonts w:cstheme="minorHAnsi"/>
          <w:b/>
        </w:rPr>
      </w:pPr>
    </w:p>
    <w:p w14:paraId="2BA87D07" w14:textId="6C83D4D9" w:rsidR="0081080A" w:rsidRPr="00B0726E" w:rsidRDefault="00B0726E" w:rsidP="00CB062D">
      <w:pPr>
        <w:spacing w:line="360" w:lineRule="auto"/>
        <w:jc w:val="both"/>
        <w:rPr>
          <w:rFonts w:cstheme="minorHAnsi"/>
          <w:bCs/>
        </w:rPr>
      </w:pPr>
      <w:r w:rsidRPr="00B0726E">
        <w:rPr>
          <w:rFonts w:cstheme="minorHAnsi"/>
          <w:bCs/>
        </w:rPr>
        <w:t>Il/la sottoscritto/a _______________________ c.f. ______________________________ nato a __________________________ (___) il ___/___/______, residente a ______________________ (___) in __________________________________ n.________</w:t>
      </w:r>
    </w:p>
    <w:p w14:paraId="188984B1" w14:textId="6EB43784" w:rsidR="00B0726E" w:rsidRPr="00B0726E" w:rsidRDefault="00B0726E" w:rsidP="00B0726E">
      <w:pPr>
        <w:jc w:val="both"/>
        <w:rPr>
          <w:rFonts w:cstheme="minorHAnsi"/>
          <w:bCs/>
        </w:rPr>
      </w:pPr>
    </w:p>
    <w:p w14:paraId="12C2AC28" w14:textId="486439DD" w:rsidR="00B0726E" w:rsidRPr="00B0726E" w:rsidRDefault="00B0726E" w:rsidP="00CB062D">
      <w:pPr>
        <w:spacing w:line="360" w:lineRule="auto"/>
        <w:jc w:val="both"/>
        <w:rPr>
          <w:rFonts w:cstheme="minorHAnsi"/>
          <w:bCs/>
        </w:rPr>
      </w:pPr>
      <w:r w:rsidRPr="00B0726E">
        <w:rPr>
          <w:rFonts w:cstheme="minorHAnsi"/>
          <w:bCs/>
        </w:rPr>
        <w:t>consapevole che chiunque rilascia dichiarazioni mendaci è punito ai sensi del codice penale e delle leggi speciali in materia, ai sensi e per gli effetti dell'art. 46 D.P.R. n. 445/2000</w:t>
      </w:r>
    </w:p>
    <w:p w14:paraId="6AE8566A" w14:textId="6E4807D5" w:rsidR="0081080A" w:rsidRPr="00B0726E" w:rsidRDefault="0081080A" w:rsidP="00B0726E">
      <w:pPr>
        <w:jc w:val="both"/>
        <w:rPr>
          <w:rFonts w:cstheme="minorHAnsi"/>
          <w:bCs/>
        </w:rPr>
      </w:pPr>
    </w:p>
    <w:p w14:paraId="5C6162CC" w14:textId="3A1499CD" w:rsidR="0081080A" w:rsidRPr="00B0726E" w:rsidRDefault="0081080A" w:rsidP="00B0726E">
      <w:pPr>
        <w:jc w:val="center"/>
        <w:rPr>
          <w:rFonts w:cstheme="minorHAnsi"/>
          <w:b/>
        </w:rPr>
      </w:pPr>
      <w:r w:rsidRPr="00B0726E">
        <w:rPr>
          <w:rFonts w:cstheme="minorHAnsi"/>
          <w:b/>
        </w:rPr>
        <w:t>DICHIARA</w:t>
      </w:r>
    </w:p>
    <w:p w14:paraId="09104E0F" w14:textId="6529DB3A" w:rsidR="006F428A" w:rsidRPr="00B0726E" w:rsidRDefault="0081080A" w:rsidP="00CB062D">
      <w:pPr>
        <w:spacing w:after="200" w:line="360" w:lineRule="auto"/>
        <w:ind w:left="284" w:hanging="284"/>
        <w:jc w:val="both"/>
        <w:rPr>
          <w:rFonts w:cstheme="minorHAnsi"/>
        </w:rPr>
      </w:pPr>
      <w:r w:rsidRPr="00B0726E">
        <w:rPr>
          <w:rFonts w:cstheme="minorHAnsi"/>
          <w:sz w:val="32"/>
          <w:szCs w:val="32"/>
        </w:rPr>
        <w:t>□</w:t>
      </w:r>
      <w:r w:rsidRPr="00B0726E">
        <w:rPr>
          <w:rFonts w:cstheme="minorHAnsi"/>
        </w:rPr>
        <w:t xml:space="preserve"> di non essere affidatario di ulteriori incarichi relativi a studi di Microzonazione Sismica nella </w:t>
      </w:r>
      <w:r w:rsidR="00B0726E">
        <w:rPr>
          <w:rFonts w:cstheme="minorHAnsi"/>
        </w:rPr>
        <w:t>R</w:t>
      </w:r>
      <w:r w:rsidRPr="00B0726E">
        <w:rPr>
          <w:rFonts w:cstheme="minorHAnsi"/>
        </w:rPr>
        <w:t>egione Puglia;</w:t>
      </w:r>
    </w:p>
    <w:p w14:paraId="1A19BA70" w14:textId="7AA1954D" w:rsidR="0081080A" w:rsidRPr="00CB062D" w:rsidRDefault="0081080A" w:rsidP="00CB062D">
      <w:pPr>
        <w:spacing w:after="200" w:line="360" w:lineRule="auto"/>
        <w:ind w:left="284" w:hanging="284"/>
        <w:jc w:val="both"/>
        <w:rPr>
          <w:rFonts w:cstheme="minorHAnsi"/>
        </w:rPr>
      </w:pPr>
      <w:r w:rsidRPr="00B0726E">
        <w:rPr>
          <w:rFonts w:cstheme="minorHAnsi"/>
          <w:sz w:val="32"/>
          <w:szCs w:val="32"/>
        </w:rPr>
        <w:t>□</w:t>
      </w:r>
      <w:r w:rsidRPr="00B0726E">
        <w:rPr>
          <w:rFonts w:cstheme="minorHAnsi"/>
        </w:rPr>
        <w:t xml:space="preserve"> di essere già affidatario </w:t>
      </w:r>
      <w:r w:rsidR="00AE32C1">
        <w:rPr>
          <w:rFonts w:cstheme="minorHAnsi"/>
        </w:rPr>
        <w:t>dei seguenti incarichi</w:t>
      </w:r>
      <w:r w:rsidRPr="00B0726E">
        <w:rPr>
          <w:rFonts w:cstheme="minorHAnsi"/>
        </w:rPr>
        <w:t xml:space="preserve"> relativ</w:t>
      </w:r>
      <w:r w:rsidR="00AE32C1">
        <w:rPr>
          <w:rFonts w:cstheme="minorHAnsi"/>
        </w:rPr>
        <w:t>i</w:t>
      </w:r>
      <w:r w:rsidRPr="00B0726E">
        <w:rPr>
          <w:rFonts w:cstheme="minorHAnsi"/>
        </w:rPr>
        <w:t xml:space="preserve"> a studi di Microzonazione Sismica nella </w:t>
      </w:r>
      <w:r w:rsidR="00B0726E" w:rsidRPr="00CB062D">
        <w:rPr>
          <w:rFonts w:cstheme="minorHAnsi"/>
        </w:rPr>
        <w:t>R</w:t>
      </w:r>
      <w:r w:rsidRPr="00CB062D">
        <w:rPr>
          <w:rFonts w:cstheme="minorHAnsi"/>
        </w:rPr>
        <w:t>egione Puglia, presso il Comune di _______________________________</w:t>
      </w:r>
      <w:r w:rsidR="00AE32C1">
        <w:rPr>
          <w:rFonts w:cstheme="minorHAnsi"/>
        </w:rPr>
        <w:t>________________________</w:t>
      </w:r>
      <w:r w:rsidRPr="00CB062D">
        <w:rPr>
          <w:rFonts w:cstheme="minorHAnsi"/>
        </w:rPr>
        <w:t>.</w:t>
      </w:r>
    </w:p>
    <w:p w14:paraId="4884F60C" w14:textId="2FE00B05" w:rsidR="00AD4A16" w:rsidRPr="00CB062D" w:rsidRDefault="00AD4A16" w:rsidP="006F428A">
      <w:pPr>
        <w:spacing w:after="200" w:line="276" w:lineRule="auto"/>
        <w:rPr>
          <w:rFonts w:cstheme="minorHAnsi"/>
        </w:rPr>
      </w:pPr>
    </w:p>
    <w:p w14:paraId="5456BCE0" w14:textId="4D913BE2" w:rsidR="00CB062D" w:rsidRPr="00CB062D" w:rsidRDefault="00CB062D" w:rsidP="00CB062D">
      <w:pPr>
        <w:kinsoku w:val="0"/>
        <w:overflowPunct w:val="0"/>
        <w:spacing w:before="120" w:after="120" w:line="240" w:lineRule="auto"/>
        <w:ind w:right="-1"/>
        <w:rPr>
          <w:rFonts w:eastAsia="Times New Roman" w:cstheme="minorHAnsi"/>
          <w:bCs/>
          <w:caps/>
          <w:w w:val="90"/>
          <w:lang w:eastAsia="it-IT"/>
        </w:rPr>
      </w:pPr>
      <w:r w:rsidRPr="00CB062D">
        <w:rPr>
          <w:rFonts w:eastAsia="Times New Roman" w:cstheme="minorHAnsi"/>
          <w:bCs/>
          <w:w w:val="90"/>
          <w:lang w:eastAsia="it-IT"/>
        </w:rPr>
        <w:t>Data</w:t>
      </w:r>
      <w:r w:rsidRPr="00CB062D">
        <w:rPr>
          <w:rFonts w:eastAsia="Times New Roman" w:cstheme="minorHAnsi"/>
          <w:bCs/>
          <w:caps/>
          <w:w w:val="90"/>
          <w:lang w:eastAsia="it-IT"/>
        </w:rPr>
        <w:t xml:space="preserve">, __________________   </w:t>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t xml:space="preserve">   _____________________________                       </w:t>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p>
    <w:p w14:paraId="7B7B56F2" w14:textId="77777777" w:rsidR="00CB062D" w:rsidRPr="00CB062D" w:rsidRDefault="00CB062D" w:rsidP="00CB062D">
      <w:pPr>
        <w:kinsoku w:val="0"/>
        <w:overflowPunct w:val="0"/>
        <w:spacing w:before="120" w:after="120" w:line="240" w:lineRule="auto"/>
        <w:ind w:left="6660" w:right="-1" w:firstLine="420"/>
        <w:rPr>
          <w:rFonts w:eastAsia="Times New Roman" w:cstheme="minorHAnsi"/>
          <w:bCs/>
          <w:w w:val="90"/>
          <w:lang w:eastAsia="it-IT"/>
        </w:rPr>
      </w:pPr>
      <w:r w:rsidRPr="00CB062D">
        <w:rPr>
          <w:rFonts w:eastAsia="Times New Roman" w:cstheme="minorHAnsi"/>
          <w:bCs/>
          <w:w w:val="90"/>
          <w:lang w:eastAsia="it-IT"/>
        </w:rPr>
        <w:t xml:space="preserve">firma del dichiarante </w:t>
      </w:r>
    </w:p>
    <w:p w14:paraId="518F44FE" w14:textId="40F6EF39" w:rsidR="00CB062D" w:rsidRDefault="00CB062D" w:rsidP="00CB062D">
      <w:pPr>
        <w:kinsoku w:val="0"/>
        <w:overflowPunct w:val="0"/>
        <w:spacing w:before="120" w:after="120" w:line="240" w:lineRule="auto"/>
        <w:ind w:left="6240" w:right="-1" w:firstLine="420"/>
        <w:rPr>
          <w:rFonts w:eastAsia="Times New Roman" w:cstheme="minorHAnsi"/>
          <w:bCs/>
          <w:w w:val="90"/>
          <w:lang w:eastAsia="it-IT"/>
        </w:rPr>
      </w:pPr>
      <w:r w:rsidRPr="00CB062D">
        <w:rPr>
          <w:rFonts w:eastAsia="Times New Roman" w:cstheme="minorHAnsi"/>
          <w:bCs/>
          <w:w w:val="90"/>
          <w:lang w:eastAsia="it-IT"/>
        </w:rPr>
        <w:t xml:space="preserve">        (per esteso e leggibile)</w:t>
      </w:r>
    </w:p>
    <w:p w14:paraId="5C442DCE" w14:textId="5218C002" w:rsidR="00CB062D" w:rsidRDefault="00CB062D">
      <w:pPr>
        <w:spacing w:after="200" w:line="276" w:lineRule="auto"/>
        <w:rPr>
          <w:rFonts w:eastAsia="Times New Roman" w:cstheme="minorHAnsi"/>
          <w:bCs/>
          <w:w w:val="90"/>
          <w:lang w:eastAsia="it-IT"/>
        </w:rPr>
      </w:pPr>
    </w:p>
    <w:sectPr w:rsidR="00CB062D" w:rsidSect="006D0E53">
      <w:headerReference w:type="default" r:id="rId25"/>
      <w:footerReference w:type="default" r:id="rId26"/>
      <w:pgSz w:w="11906" w:h="16838"/>
      <w:pgMar w:top="1985" w:right="1134" w:bottom="1134"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6638" w14:textId="77777777" w:rsidR="00C90290" w:rsidRDefault="00C90290" w:rsidP="00E107E5">
      <w:pPr>
        <w:spacing w:after="0" w:line="240" w:lineRule="auto"/>
      </w:pPr>
      <w:r>
        <w:separator/>
      </w:r>
    </w:p>
  </w:endnote>
  <w:endnote w:type="continuationSeparator" w:id="0">
    <w:p w14:paraId="776D9B0E" w14:textId="77777777" w:rsidR="00C90290" w:rsidRDefault="00C90290" w:rsidP="00E1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nglish111 Vivac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5480"/>
      <w:docPartObj>
        <w:docPartGallery w:val="Page Numbers (Bottom of Page)"/>
        <w:docPartUnique/>
      </w:docPartObj>
    </w:sdtPr>
    <w:sdtEndPr/>
    <w:sdtContent>
      <w:p w14:paraId="4E12834E" w14:textId="77777777" w:rsidR="00075F65" w:rsidRDefault="00996184">
        <w:pPr>
          <w:pStyle w:val="Pidipagina"/>
          <w:jc w:val="center"/>
        </w:pPr>
        <w:r>
          <w:fldChar w:fldCharType="begin"/>
        </w:r>
        <w:r w:rsidR="00075F65">
          <w:instrText>PAGE   \* MERGEFORMAT</w:instrText>
        </w:r>
        <w:r>
          <w:fldChar w:fldCharType="separate"/>
        </w:r>
        <w:r w:rsidR="005E359D">
          <w:rPr>
            <w:noProof/>
          </w:rPr>
          <w:t>8</w:t>
        </w:r>
        <w:r>
          <w:fldChar w:fldCharType="end"/>
        </w:r>
      </w:p>
    </w:sdtContent>
  </w:sdt>
  <w:p w14:paraId="374414AA" w14:textId="77777777" w:rsidR="00075F65" w:rsidRDefault="00075F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24A" w14:textId="77777777" w:rsidR="009C7573" w:rsidRDefault="00996184">
    <w:pPr>
      <w:pStyle w:val="Pidipagina"/>
      <w:jc w:val="center"/>
      <w:rPr>
        <w:caps/>
        <w:color w:val="4F81BD" w:themeColor="accent1"/>
      </w:rPr>
    </w:pPr>
    <w:r>
      <w:rPr>
        <w:caps/>
        <w:color w:val="4F81BD" w:themeColor="accent1"/>
      </w:rPr>
      <w:fldChar w:fldCharType="begin"/>
    </w:r>
    <w:r w:rsidR="009C7573">
      <w:rPr>
        <w:caps/>
        <w:color w:val="4F81BD" w:themeColor="accent1"/>
      </w:rPr>
      <w:instrText>PAGE   \* MERGEFORMAT</w:instrText>
    </w:r>
    <w:r>
      <w:rPr>
        <w:caps/>
        <w:color w:val="4F81BD" w:themeColor="accent1"/>
      </w:rPr>
      <w:fldChar w:fldCharType="separate"/>
    </w:r>
    <w:r w:rsidR="00085036">
      <w:rPr>
        <w:caps/>
        <w:noProof/>
        <w:color w:val="4F81BD" w:themeColor="accent1"/>
      </w:rPr>
      <w:t>15</w:t>
    </w:r>
    <w:r>
      <w:rPr>
        <w:caps/>
        <w:color w:val="4F81BD" w:themeColor="accent1"/>
      </w:rPr>
      <w:fldChar w:fldCharType="end"/>
    </w:r>
  </w:p>
  <w:p w14:paraId="3A467BD9" w14:textId="77777777" w:rsidR="009C7573" w:rsidRDefault="009C7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F0D8" w14:textId="77777777" w:rsidR="00C90290" w:rsidRDefault="00C90290" w:rsidP="00E107E5">
      <w:pPr>
        <w:spacing w:after="0" w:line="240" w:lineRule="auto"/>
      </w:pPr>
      <w:r>
        <w:separator/>
      </w:r>
    </w:p>
  </w:footnote>
  <w:footnote w:type="continuationSeparator" w:id="0">
    <w:p w14:paraId="2A31167E" w14:textId="77777777" w:rsidR="00C90290" w:rsidRDefault="00C90290" w:rsidP="00E1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4073" w14:textId="77777777" w:rsidR="00075F65" w:rsidRDefault="00C55287">
    <w:pPr>
      <w:pStyle w:val="Intestazione"/>
    </w:pPr>
    <w:r w:rsidRPr="00C55287">
      <w:rPr>
        <w:noProof/>
      </w:rPr>
      <w:drawing>
        <wp:anchor distT="0" distB="0" distL="114300" distR="114300" simplePos="0" relativeHeight="251654144" behindDoc="0" locked="0" layoutInCell="1" allowOverlap="1" wp14:anchorId="0D61DC42" wp14:editId="430BB0BD">
          <wp:simplePos x="0" y="0"/>
          <wp:positionH relativeFrom="column">
            <wp:posOffset>2478405</wp:posOffset>
          </wp:positionH>
          <wp:positionV relativeFrom="paragraph">
            <wp:posOffset>-160020</wp:posOffset>
          </wp:positionV>
          <wp:extent cx="397510" cy="664845"/>
          <wp:effectExtent l="0" t="0" r="2540" b="1905"/>
          <wp:wrapSquare wrapText="bothSides"/>
          <wp:docPr id="11"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1" cstate="print"/>
                  <a:srcRect/>
                  <a:stretch>
                    <a:fillRect/>
                  </a:stretch>
                </pic:blipFill>
                <pic:spPr bwMode="auto">
                  <a:xfrm>
                    <a:off x="0" y="0"/>
                    <a:ext cx="397510" cy="664845"/>
                  </a:xfrm>
                  <a:prstGeom prst="rect">
                    <a:avLst/>
                  </a:prstGeom>
                  <a:noFill/>
                  <a:ln w="9525">
                    <a:noFill/>
                    <a:miter lim="800000"/>
                    <a:headEnd/>
                    <a:tailEnd/>
                  </a:ln>
                </pic:spPr>
              </pic:pic>
            </a:graphicData>
          </a:graphic>
        </wp:anchor>
      </w:drawing>
    </w:r>
    <w:r w:rsidRPr="00C55287">
      <w:rPr>
        <w:noProof/>
      </w:rPr>
      <w:drawing>
        <wp:anchor distT="0" distB="0" distL="114300" distR="114300" simplePos="0" relativeHeight="251656192" behindDoc="0" locked="0" layoutInCell="1" allowOverlap="1" wp14:anchorId="337759DF" wp14:editId="32881A41">
          <wp:simplePos x="0" y="0"/>
          <wp:positionH relativeFrom="column">
            <wp:posOffset>3185160</wp:posOffset>
          </wp:positionH>
          <wp:positionV relativeFrom="paragraph">
            <wp:posOffset>-7620</wp:posOffset>
          </wp:positionV>
          <wp:extent cx="493395" cy="493395"/>
          <wp:effectExtent l="0" t="0" r="1905" b="1905"/>
          <wp:wrapThrough wrapText="bothSides">
            <wp:wrapPolygon edited="0">
              <wp:start x="0" y="0"/>
              <wp:lineTo x="0" y="20849"/>
              <wp:lineTo x="20849" y="20849"/>
              <wp:lineTo x="20849"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anchor>
      </w:drawing>
    </w:r>
    <w:r w:rsidRPr="00C55287">
      <w:rPr>
        <w:noProof/>
      </w:rPr>
      <w:drawing>
        <wp:anchor distT="0" distB="0" distL="114300" distR="114300" simplePos="0" relativeHeight="251657216" behindDoc="1" locked="0" layoutInCell="1" allowOverlap="1" wp14:anchorId="4505574D" wp14:editId="2A63F00E">
          <wp:simplePos x="0" y="0"/>
          <wp:positionH relativeFrom="margin">
            <wp:posOffset>0</wp:posOffset>
          </wp:positionH>
          <wp:positionV relativeFrom="paragraph">
            <wp:posOffset>-126365</wp:posOffset>
          </wp:positionV>
          <wp:extent cx="565785" cy="570230"/>
          <wp:effectExtent l="0" t="0" r="5715" b="1270"/>
          <wp:wrapTight wrapText="bothSides">
            <wp:wrapPolygon edited="0">
              <wp:start x="6545" y="0"/>
              <wp:lineTo x="0" y="2886"/>
              <wp:lineTo x="0" y="19483"/>
              <wp:lineTo x="8000" y="20927"/>
              <wp:lineTo x="13091" y="20927"/>
              <wp:lineTo x="21091" y="19483"/>
              <wp:lineTo x="21091" y="3608"/>
              <wp:lineTo x="13818" y="0"/>
              <wp:lineTo x="6545" y="0"/>
            </wp:wrapPolygon>
          </wp:wrapTight>
          <wp:docPr id="13" name="Immagine 13"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5785" cy="570230"/>
                  </a:xfrm>
                  <a:prstGeom prst="rect">
                    <a:avLst/>
                  </a:prstGeom>
                  <a:noFill/>
                  <a:ln>
                    <a:noFill/>
                  </a:ln>
                </pic:spPr>
              </pic:pic>
            </a:graphicData>
          </a:graphic>
        </wp:anchor>
      </w:drawing>
    </w:r>
    <w:r w:rsidRPr="00C55287">
      <w:rPr>
        <w:noProof/>
      </w:rPr>
      <w:drawing>
        <wp:anchor distT="0" distB="0" distL="114300" distR="114300" simplePos="0" relativeHeight="251659264" behindDoc="0" locked="0" layoutInCell="1" allowOverlap="1" wp14:anchorId="1A466458" wp14:editId="56FD04A7">
          <wp:simplePos x="0" y="0"/>
          <wp:positionH relativeFrom="column">
            <wp:posOffset>5229860</wp:posOffset>
          </wp:positionH>
          <wp:positionV relativeFrom="paragraph">
            <wp:posOffset>19050</wp:posOffset>
          </wp:positionV>
          <wp:extent cx="619125" cy="325755"/>
          <wp:effectExtent l="0" t="0" r="9525" b="0"/>
          <wp:wrapThrough wrapText="bothSides">
            <wp:wrapPolygon edited="0">
              <wp:start x="5317" y="0"/>
              <wp:lineTo x="0" y="2526"/>
              <wp:lineTo x="0" y="16421"/>
              <wp:lineTo x="2658" y="20211"/>
              <wp:lineTo x="18609" y="20211"/>
              <wp:lineTo x="21268" y="18947"/>
              <wp:lineTo x="21268" y="5053"/>
              <wp:lineTo x="8640" y="0"/>
              <wp:lineTo x="5317"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325755"/>
                  </a:xfrm>
                  <a:prstGeom prst="rect">
                    <a:avLst/>
                  </a:prstGeom>
                </pic:spPr>
              </pic:pic>
            </a:graphicData>
          </a:graphic>
        </wp:anchor>
      </w:drawing>
    </w:r>
    <w:r w:rsidRPr="00C55287">
      <w:rPr>
        <w:noProof/>
      </w:rPr>
      <w:drawing>
        <wp:anchor distT="0" distB="0" distL="114300" distR="114300" simplePos="0" relativeHeight="251661312" behindDoc="0" locked="0" layoutInCell="1" allowOverlap="1" wp14:anchorId="03244180" wp14:editId="43A86404">
          <wp:simplePos x="0" y="0"/>
          <wp:positionH relativeFrom="column">
            <wp:posOffset>4640580</wp:posOffset>
          </wp:positionH>
          <wp:positionV relativeFrom="paragraph">
            <wp:posOffset>-76200</wp:posOffset>
          </wp:positionV>
          <wp:extent cx="441325" cy="447675"/>
          <wp:effectExtent l="0" t="0" r="0" b="9525"/>
          <wp:wrapThrough wrapText="bothSides">
            <wp:wrapPolygon edited="0">
              <wp:start x="0" y="0"/>
              <wp:lineTo x="0" y="21140"/>
              <wp:lineTo x="20512" y="21140"/>
              <wp:lineTo x="20512" y="0"/>
              <wp:lineTo x="0" y="0"/>
            </wp:wrapPolygon>
          </wp:wrapThrough>
          <wp:docPr id="15"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5" cstate="print">
                    <a:extLst>
                      <a:ext uri="{28A0092B-C50C-407E-A947-70E740481C1C}">
                        <a14:useLocalDpi xmlns:a14="http://schemas.microsoft.com/office/drawing/2010/main" val="0"/>
                      </a:ext>
                    </a:extLst>
                  </a:blip>
                  <a:srcRect t="5409" b="5415"/>
                  <a:stretch/>
                </pic:blipFill>
                <pic:spPr>
                  <a:xfrm>
                    <a:off x="0" y="0"/>
                    <a:ext cx="441325" cy="4476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BE77" w14:textId="77777777" w:rsidR="009C7573" w:rsidRDefault="00991A71">
    <w:pPr>
      <w:pStyle w:val="Intestazione"/>
    </w:pPr>
    <w:r w:rsidRPr="00991A71">
      <w:rPr>
        <w:noProof/>
      </w:rPr>
      <w:drawing>
        <wp:anchor distT="0" distB="0" distL="114300" distR="114300" simplePos="0" relativeHeight="251655168" behindDoc="0" locked="0" layoutInCell="1" allowOverlap="1" wp14:anchorId="6B2853ED" wp14:editId="2E11D621">
          <wp:simplePos x="0" y="0"/>
          <wp:positionH relativeFrom="column">
            <wp:posOffset>3106420</wp:posOffset>
          </wp:positionH>
          <wp:positionV relativeFrom="paragraph">
            <wp:posOffset>165735</wp:posOffset>
          </wp:positionV>
          <wp:extent cx="493395" cy="493395"/>
          <wp:effectExtent l="0" t="0" r="1905" b="1905"/>
          <wp:wrapThrough wrapText="bothSides">
            <wp:wrapPolygon edited="0">
              <wp:start x="0" y="0"/>
              <wp:lineTo x="0" y="20849"/>
              <wp:lineTo x="20849" y="20849"/>
              <wp:lineTo x="20849" y="0"/>
              <wp:lineTo x="0" y="0"/>
            </wp:wrapPolygon>
          </wp:wrapThrough>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anchor>
      </w:drawing>
    </w:r>
    <w:r w:rsidRPr="00991A71">
      <w:rPr>
        <w:noProof/>
      </w:rPr>
      <w:drawing>
        <wp:anchor distT="0" distB="0" distL="114300" distR="114300" simplePos="0" relativeHeight="251658240" behindDoc="1" locked="0" layoutInCell="1" allowOverlap="1" wp14:anchorId="7F135669" wp14:editId="7D50804F">
          <wp:simplePos x="0" y="0"/>
          <wp:positionH relativeFrom="margin">
            <wp:posOffset>0</wp:posOffset>
          </wp:positionH>
          <wp:positionV relativeFrom="paragraph">
            <wp:posOffset>105410</wp:posOffset>
          </wp:positionV>
          <wp:extent cx="565785" cy="570230"/>
          <wp:effectExtent l="0" t="0" r="5715" b="1270"/>
          <wp:wrapTight wrapText="bothSides">
            <wp:wrapPolygon edited="0">
              <wp:start x="6545" y="0"/>
              <wp:lineTo x="0" y="2886"/>
              <wp:lineTo x="0" y="19483"/>
              <wp:lineTo x="8000" y="20927"/>
              <wp:lineTo x="13091" y="20927"/>
              <wp:lineTo x="21091" y="19483"/>
              <wp:lineTo x="21091" y="3608"/>
              <wp:lineTo x="13818" y="0"/>
              <wp:lineTo x="6545" y="0"/>
            </wp:wrapPolygon>
          </wp:wrapTight>
          <wp:docPr id="47" name="Immagine 47"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 cy="570230"/>
                  </a:xfrm>
                  <a:prstGeom prst="rect">
                    <a:avLst/>
                  </a:prstGeom>
                  <a:noFill/>
                  <a:ln>
                    <a:noFill/>
                  </a:ln>
                </pic:spPr>
              </pic:pic>
            </a:graphicData>
          </a:graphic>
        </wp:anchor>
      </w:drawing>
    </w:r>
    <w:r w:rsidRPr="00991A71">
      <w:rPr>
        <w:noProof/>
      </w:rPr>
      <w:drawing>
        <wp:anchor distT="0" distB="0" distL="114300" distR="114300" simplePos="0" relativeHeight="251660288" behindDoc="0" locked="0" layoutInCell="1" allowOverlap="1" wp14:anchorId="6E64228F" wp14:editId="14574C1D">
          <wp:simplePos x="0" y="0"/>
          <wp:positionH relativeFrom="column">
            <wp:posOffset>5214620</wp:posOffset>
          </wp:positionH>
          <wp:positionV relativeFrom="paragraph">
            <wp:posOffset>328930</wp:posOffset>
          </wp:positionV>
          <wp:extent cx="619125" cy="325755"/>
          <wp:effectExtent l="0" t="0" r="9525" b="0"/>
          <wp:wrapThrough wrapText="bothSides">
            <wp:wrapPolygon edited="0">
              <wp:start x="5317" y="0"/>
              <wp:lineTo x="0" y="2526"/>
              <wp:lineTo x="0" y="16421"/>
              <wp:lineTo x="2658" y="20211"/>
              <wp:lineTo x="18609" y="20211"/>
              <wp:lineTo x="21268" y="18947"/>
              <wp:lineTo x="21268" y="5053"/>
              <wp:lineTo x="8640" y="0"/>
              <wp:lineTo x="5317" y="0"/>
            </wp:wrapPolygon>
          </wp:wrapThrough>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325755"/>
                  </a:xfrm>
                  <a:prstGeom prst="rect">
                    <a:avLst/>
                  </a:prstGeom>
                </pic:spPr>
              </pic:pic>
            </a:graphicData>
          </a:graphic>
        </wp:anchor>
      </w:drawing>
    </w:r>
    <w:r w:rsidRPr="00991A71">
      <w:rPr>
        <w:noProof/>
      </w:rPr>
      <w:drawing>
        <wp:anchor distT="0" distB="0" distL="114300" distR="114300" simplePos="0" relativeHeight="251653120" behindDoc="0" locked="0" layoutInCell="1" allowOverlap="1" wp14:anchorId="06CD1E18" wp14:editId="740FC049">
          <wp:simplePos x="0" y="0"/>
          <wp:positionH relativeFrom="column">
            <wp:posOffset>2536825</wp:posOffset>
          </wp:positionH>
          <wp:positionV relativeFrom="paragraph">
            <wp:posOffset>3879</wp:posOffset>
          </wp:positionV>
          <wp:extent cx="397510" cy="664845"/>
          <wp:effectExtent l="0" t="0" r="2540" b="1905"/>
          <wp:wrapSquare wrapText="bothSides"/>
          <wp:docPr id="49"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4" cstate="print"/>
                  <a:srcRect/>
                  <a:stretch>
                    <a:fillRect/>
                  </a:stretch>
                </pic:blipFill>
                <pic:spPr bwMode="auto">
                  <a:xfrm>
                    <a:off x="0" y="0"/>
                    <a:ext cx="397510" cy="664845"/>
                  </a:xfrm>
                  <a:prstGeom prst="rect">
                    <a:avLst/>
                  </a:prstGeom>
                  <a:noFill/>
                  <a:ln w="9525">
                    <a:noFill/>
                    <a:miter lim="800000"/>
                    <a:headEnd/>
                    <a:tailEnd/>
                  </a:ln>
                </pic:spPr>
              </pic:pic>
            </a:graphicData>
          </a:graphic>
        </wp:anchor>
      </w:drawing>
    </w:r>
    <w:r w:rsidR="009C7573">
      <w:ptab w:relativeTo="margin" w:alignment="center" w:leader="none"/>
    </w:r>
    <w:r w:rsidR="009C7573">
      <w:ptab w:relativeTo="margin" w:alignment="right" w:leader="none"/>
    </w:r>
  </w:p>
  <w:p w14:paraId="71BBB79D" w14:textId="77777777" w:rsidR="009C7573" w:rsidRDefault="00991A71">
    <w:r w:rsidRPr="00991A71">
      <w:rPr>
        <w:noProof/>
        <w:lang w:eastAsia="it-IT"/>
      </w:rPr>
      <w:drawing>
        <wp:anchor distT="0" distB="0" distL="114300" distR="114300" simplePos="0" relativeHeight="251662336" behindDoc="0" locked="0" layoutInCell="1" allowOverlap="1" wp14:anchorId="03609B01" wp14:editId="17363C28">
          <wp:simplePos x="0" y="0"/>
          <wp:positionH relativeFrom="column">
            <wp:posOffset>4596130</wp:posOffset>
          </wp:positionH>
          <wp:positionV relativeFrom="paragraph">
            <wp:posOffset>53409</wp:posOffset>
          </wp:positionV>
          <wp:extent cx="441325" cy="447675"/>
          <wp:effectExtent l="0" t="0" r="0" b="9525"/>
          <wp:wrapThrough wrapText="bothSides">
            <wp:wrapPolygon edited="0">
              <wp:start x="0" y="0"/>
              <wp:lineTo x="0" y="21140"/>
              <wp:lineTo x="20512" y="21140"/>
              <wp:lineTo x="20512" y="0"/>
              <wp:lineTo x="0" y="0"/>
            </wp:wrapPolygon>
          </wp:wrapThrough>
          <wp:docPr id="50"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5" cstate="print">
                    <a:extLst>
                      <a:ext uri="{28A0092B-C50C-407E-A947-70E740481C1C}">
                        <a14:useLocalDpi xmlns:a14="http://schemas.microsoft.com/office/drawing/2010/main" val="0"/>
                      </a:ext>
                    </a:extLst>
                  </a:blip>
                  <a:srcRect t="5409" b="5415"/>
                  <a:stretch/>
                </pic:blipFill>
                <pic:spPr>
                  <a:xfrm>
                    <a:off x="0" y="0"/>
                    <a:ext cx="441325"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EED4E"/>
    <w:lvl w:ilvl="0">
      <w:numFmt w:val="bullet"/>
      <w:lvlText w:val="*"/>
      <w:lvlJc w:val="left"/>
    </w:lvl>
  </w:abstractNum>
  <w:abstractNum w:abstractNumId="1" w15:restartNumberingAfterBreak="0">
    <w:nsid w:val="014735A9"/>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 w15:restartNumberingAfterBreak="0">
    <w:nsid w:val="0A0509B1"/>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 w15:restartNumberingAfterBreak="0">
    <w:nsid w:val="0B8B175A"/>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4" w15:restartNumberingAfterBreak="0">
    <w:nsid w:val="0BB00D18"/>
    <w:multiLevelType w:val="hybridMultilevel"/>
    <w:tmpl w:val="ED6AB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9D4435"/>
    <w:multiLevelType w:val="hybridMultilevel"/>
    <w:tmpl w:val="EF38C2AE"/>
    <w:lvl w:ilvl="0" w:tplc="691CB444">
      <w:start w:val="1"/>
      <w:numFmt w:val="decimal"/>
      <w:lvlText w:val="%1."/>
      <w:lvlJc w:val="left"/>
      <w:pPr>
        <w:ind w:left="502"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F0F35"/>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7" w15:restartNumberingAfterBreak="0">
    <w:nsid w:val="1134199E"/>
    <w:multiLevelType w:val="hybridMultilevel"/>
    <w:tmpl w:val="2202FB42"/>
    <w:lvl w:ilvl="0" w:tplc="F58A4C8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392C79"/>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9" w15:restartNumberingAfterBreak="0">
    <w:nsid w:val="1F900AB5"/>
    <w:multiLevelType w:val="hybridMultilevel"/>
    <w:tmpl w:val="D79C0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1E7F1C"/>
    <w:multiLevelType w:val="hybridMultilevel"/>
    <w:tmpl w:val="53E035C8"/>
    <w:lvl w:ilvl="0" w:tplc="53DC8F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945E7"/>
    <w:multiLevelType w:val="hybridMultilevel"/>
    <w:tmpl w:val="CA6ADCF8"/>
    <w:lvl w:ilvl="0" w:tplc="04100001">
      <w:start w:val="1"/>
      <w:numFmt w:val="bullet"/>
      <w:lvlText w:val=""/>
      <w:lvlJc w:val="left"/>
      <w:pPr>
        <w:ind w:left="8582" w:hanging="360"/>
      </w:pPr>
      <w:rPr>
        <w:rFonts w:ascii="Symbol" w:hAnsi="Symbol" w:hint="default"/>
      </w:rPr>
    </w:lvl>
    <w:lvl w:ilvl="1" w:tplc="04100003" w:tentative="1">
      <w:start w:val="1"/>
      <w:numFmt w:val="bullet"/>
      <w:lvlText w:val="o"/>
      <w:lvlJc w:val="left"/>
      <w:pPr>
        <w:ind w:left="10088" w:hanging="360"/>
      </w:pPr>
      <w:rPr>
        <w:rFonts w:ascii="Courier New" w:hAnsi="Courier New" w:cs="Courier New" w:hint="default"/>
      </w:rPr>
    </w:lvl>
    <w:lvl w:ilvl="2" w:tplc="04100005" w:tentative="1">
      <w:start w:val="1"/>
      <w:numFmt w:val="bullet"/>
      <w:lvlText w:val=""/>
      <w:lvlJc w:val="left"/>
      <w:pPr>
        <w:ind w:left="10808" w:hanging="360"/>
      </w:pPr>
      <w:rPr>
        <w:rFonts w:ascii="Wingdings" w:hAnsi="Wingdings" w:hint="default"/>
      </w:rPr>
    </w:lvl>
    <w:lvl w:ilvl="3" w:tplc="04100001" w:tentative="1">
      <w:start w:val="1"/>
      <w:numFmt w:val="bullet"/>
      <w:lvlText w:val=""/>
      <w:lvlJc w:val="left"/>
      <w:pPr>
        <w:ind w:left="11528" w:hanging="360"/>
      </w:pPr>
      <w:rPr>
        <w:rFonts w:ascii="Symbol" w:hAnsi="Symbol" w:hint="default"/>
      </w:rPr>
    </w:lvl>
    <w:lvl w:ilvl="4" w:tplc="04100003" w:tentative="1">
      <w:start w:val="1"/>
      <w:numFmt w:val="bullet"/>
      <w:lvlText w:val="o"/>
      <w:lvlJc w:val="left"/>
      <w:pPr>
        <w:ind w:left="12248" w:hanging="360"/>
      </w:pPr>
      <w:rPr>
        <w:rFonts w:ascii="Courier New" w:hAnsi="Courier New" w:cs="Courier New" w:hint="default"/>
      </w:rPr>
    </w:lvl>
    <w:lvl w:ilvl="5" w:tplc="04100005" w:tentative="1">
      <w:start w:val="1"/>
      <w:numFmt w:val="bullet"/>
      <w:lvlText w:val=""/>
      <w:lvlJc w:val="left"/>
      <w:pPr>
        <w:ind w:left="12968" w:hanging="360"/>
      </w:pPr>
      <w:rPr>
        <w:rFonts w:ascii="Wingdings" w:hAnsi="Wingdings" w:hint="default"/>
      </w:rPr>
    </w:lvl>
    <w:lvl w:ilvl="6" w:tplc="04100001" w:tentative="1">
      <w:start w:val="1"/>
      <w:numFmt w:val="bullet"/>
      <w:lvlText w:val=""/>
      <w:lvlJc w:val="left"/>
      <w:pPr>
        <w:ind w:left="13688" w:hanging="360"/>
      </w:pPr>
      <w:rPr>
        <w:rFonts w:ascii="Symbol" w:hAnsi="Symbol" w:hint="default"/>
      </w:rPr>
    </w:lvl>
    <w:lvl w:ilvl="7" w:tplc="04100003" w:tentative="1">
      <w:start w:val="1"/>
      <w:numFmt w:val="bullet"/>
      <w:lvlText w:val="o"/>
      <w:lvlJc w:val="left"/>
      <w:pPr>
        <w:ind w:left="14408" w:hanging="360"/>
      </w:pPr>
      <w:rPr>
        <w:rFonts w:ascii="Courier New" w:hAnsi="Courier New" w:cs="Courier New" w:hint="default"/>
      </w:rPr>
    </w:lvl>
    <w:lvl w:ilvl="8" w:tplc="04100005" w:tentative="1">
      <w:start w:val="1"/>
      <w:numFmt w:val="bullet"/>
      <w:lvlText w:val=""/>
      <w:lvlJc w:val="left"/>
      <w:pPr>
        <w:ind w:left="15128" w:hanging="360"/>
      </w:pPr>
      <w:rPr>
        <w:rFonts w:ascii="Wingdings" w:hAnsi="Wingdings" w:hint="default"/>
      </w:rPr>
    </w:lvl>
  </w:abstractNum>
  <w:abstractNum w:abstractNumId="12" w15:restartNumberingAfterBreak="0">
    <w:nsid w:val="2E384FAB"/>
    <w:multiLevelType w:val="hybridMultilevel"/>
    <w:tmpl w:val="38740CBA"/>
    <w:lvl w:ilvl="0" w:tplc="041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F24214E"/>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4" w15:restartNumberingAfterBreak="0">
    <w:nsid w:val="3282559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5" w15:restartNumberingAfterBreak="0">
    <w:nsid w:val="391809E2"/>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6" w15:restartNumberingAfterBreak="0">
    <w:nsid w:val="39647CFE"/>
    <w:multiLevelType w:val="hybridMultilevel"/>
    <w:tmpl w:val="CE7A9906"/>
    <w:name w:val="WW8Num132"/>
    <w:lvl w:ilvl="0" w:tplc="FF2612CA">
      <w:numFmt w:val="bullet"/>
      <w:lvlText w:val="-"/>
      <w:lvlJc w:val="left"/>
      <w:pPr>
        <w:tabs>
          <w:tab w:val="num" w:pos="1211"/>
        </w:tabs>
        <w:ind w:left="1211" w:hanging="360"/>
      </w:pPr>
      <w:rPr>
        <w:rFonts w:ascii="Garamond" w:eastAsia="SimSun" w:hAnsi="Garamond" w:cs="Times New Roman" w:hint="default"/>
        <w:color w:val="auto"/>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3C9E36E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8" w15:restartNumberingAfterBreak="0">
    <w:nsid w:val="427F41B4"/>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19" w15:restartNumberingAfterBreak="0">
    <w:nsid w:val="42AA3A8B"/>
    <w:multiLevelType w:val="hybridMultilevel"/>
    <w:tmpl w:val="4FB091C8"/>
    <w:lvl w:ilvl="0" w:tplc="53DC8F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502AED"/>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1" w15:restartNumberingAfterBreak="0">
    <w:nsid w:val="52844CB9"/>
    <w:multiLevelType w:val="hybridMultilevel"/>
    <w:tmpl w:val="2D72CEBA"/>
    <w:lvl w:ilvl="0" w:tplc="1B4A56E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2B93B49"/>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3" w15:restartNumberingAfterBreak="0">
    <w:nsid w:val="58D06696"/>
    <w:multiLevelType w:val="hybridMultilevel"/>
    <w:tmpl w:val="8FB6C2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B4B0E50"/>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5" w15:restartNumberingAfterBreak="0">
    <w:nsid w:val="64F73692"/>
    <w:multiLevelType w:val="hybridMultilevel"/>
    <w:tmpl w:val="5FAEF94E"/>
    <w:lvl w:ilvl="0" w:tplc="838E6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4537C8"/>
    <w:multiLevelType w:val="multilevel"/>
    <w:tmpl w:val="4F42218E"/>
    <w:lvl w:ilvl="0">
      <w:start w:val="1"/>
      <w:numFmt w:val="bullet"/>
      <w:pStyle w:val="PreformattatoHTML"/>
      <w:lvlText w:val=""/>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7" w15:restartNumberingAfterBreak="0">
    <w:nsid w:val="668D0928"/>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8" w15:restartNumberingAfterBreak="0">
    <w:nsid w:val="69081454"/>
    <w:multiLevelType w:val="hybridMultilevel"/>
    <w:tmpl w:val="62D853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95133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0" w15:restartNumberingAfterBreak="0">
    <w:nsid w:val="6F707C98"/>
    <w:multiLevelType w:val="hybridMultilevel"/>
    <w:tmpl w:val="359C2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English111 Vivace BT"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English111 Vivace BT"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English111 Vivace BT"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2E87243"/>
    <w:multiLevelType w:val="multilevel"/>
    <w:tmpl w:val="7DF468C2"/>
    <w:lvl w:ilvl="0">
      <w:start w:val="1"/>
      <w:numFmt w:val="bullet"/>
      <w:lvlText w:val="%1"/>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32" w15:restartNumberingAfterBreak="0">
    <w:nsid w:val="77875A9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3" w15:restartNumberingAfterBreak="0">
    <w:nsid w:val="79D374CB"/>
    <w:multiLevelType w:val="hybridMultilevel"/>
    <w:tmpl w:val="CE648DA4"/>
    <w:lvl w:ilvl="0" w:tplc="3E489F42">
      <w:start w:val="1"/>
      <w:numFmt w:val="bullet"/>
      <w:lvlText w:val="•"/>
      <w:lvlJc w:val="left"/>
      <w:pPr>
        <w:tabs>
          <w:tab w:val="num" w:pos="720"/>
        </w:tabs>
        <w:ind w:left="720" w:hanging="360"/>
      </w:pPr>
      <w:rPr>
        <w:rFonts w:ascii="Arial" w:hAnsi="Arial" w:hint="default"/>
      </w:rPr>
    </w:lvl>
    <w:lvl w:ilvl="1" w:tplc="2E2EEBEA" w:tentative="1">
      <w:start w:val="1"/>
      <w:numFmt w:val="bullet"/>
      <w:lvlText w:val="•"/>
      <w:lvlJc w:val="left"/>
      <w:pPr>
        <w:tabs>
          <w:tab w:val="num" w:pos="1440"/>
        </w:tabs>
        <w:ind w:left="1440" w:hanging="360"/>
      </w:pPr>
      <w:rPr>
        <w:rFonts w:ascii="Arial" w:hAnsi="Arial" w:hint="default"/>
      </w:rPr>
    </w:lvl>
    <w:lvl w:ilvl="2" w:tplc="31CA6E4C" w:tentative="1">
      <w:start w:val="1"/>
      <w:numFmt w:val="bullet"/>
      <w:lvlText w:val="•"/>
      <w:lvlJc w:val="left"/>
      <w:pPr>
        <w:tabs>
          <w:tab w:val="num" w:pos="2160"/>
        </w:tabs>
        <w:ind w:left="2160" w:hanging="360"/>
      </w:pPr>
      <w:rPr>
        <w:rFonts w:ascii="Arial" w:hAnsi="Arial" w:hint="default"/>
      </w:rPr>
    </w:lvl>
    <w:lvl w:ilvl="3" w:tplc="CE6CA590" w:tentative="1">
      <w:start w:val="1"/>
      <w:numFmt w:val="bullet"/>
      <w:lvlText w:val="•"/>
      <w:lvlJc w:val="left"/>
      <w:pPr>
        <w:tabs>
          <w:tab w:val="num" w:pos="2880"/>
        </w:tabs>
        <w:ind w:left="2880" w:hanging="360"/>
      </w:pPr>
      <w:rPr>
        <w:rFonts w:ascii="Arial" w:hAnsi="Arial" w:hint="default"/>
      </w:rPr>
    </w:lvl>
    <w:lvl w:ilvl="4" w:tplc="1DE67330" w:tentative="1">
      <w:start w:val="1"/>
      <w:numFmt w:val="bullet"/>
      <w:lvlText w:val="•"/>
      <w:lvlJc w:val="left"/>
      <w:pPr>
        <w:tabs>
          <w:tab w:val="num" w:pos="3600"/>
        </w:tabs>
        <w:ind w:left="3600" w:hanging="360"/>
      </w:pPr>
      <w:rPr>
        <w:rFonts w:ascii="Arial" w:hAnsi="Arial" w:hint="default"/>
      </w:rPr>
    </w:lvl>
    <w:lvl w:ilvl="5" w:tplc="667ACD12" w:tentative="1">
      <w:start w:val="1"/>
      <w:numFmt w:val="bullet"/>
      <w:lvlText w:val="•"/>
      <w:lvlJc w:val="left"/>
      <w:pPr>
        <w:tabs>
          <w:tab w:val="num" w:pos="4320"/>
        </w:tabs>
        <w:ind w:left="4320" w:hanging="360"/>
      </w:pPr>
      <w:rPr>
        <w:rFonts w:ascii="Arial" w:hAnsi="Arial" w:hint="default"/>
      </w:rPr>
    </w:lvl>
    <w:lvl w:ilvl="6" w:tplc="BA66716C" w:tentative="1">
      <w:start w:val="1"/>
      <w:numFmt w:val="bullet"/>
      <w:lvlText w:val="•"/>
      <w:lvlJc w:val="left"/>
      <w:pPr>
        <w:tabs>
          <w:tab w:val="num" w:pos="5040"/>
        </w:tabs>
        <w:ind w:left="5040" w:hanging="360"/>
      </w:pPr>
      <w:rPr>
        <w:rFonts w:ascii="Arial" w:hAnsi="Arial" w:hint="default"/>
      </w:rPr>
    </w:lvl>
    <w:lvl w:ilvl="7" w:tplc="D540AEB8" w:tentative="1">
      <w:start w:val="1"/>
      <w:numFmt w:val="bullet"/>
      <w:lvlText w:val="•"/>
      <w:lvlJc w:val="left"/>
      <w:pPr>
        <w:tabs>
          <w:tab w:val="num" w:pos="5760"/>
        </w:tabs>
        <w:ind w:left="5760" w:hanging="360"/>
      </w:pPr>
      <w:rPr>
        <w:rFonts w:ascii="Arial" w:hAnsi="Arial" w:hint="default"/>
      </w:rPr>
    </w:lvl>
    <w:lvl w:ilvl="8" w:tplc="73D06E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057467"/>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5" w15:restartNumberingAfterBreak="0">
    <w:nsid w:val="7E6544BB"/>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num w:numId="1">
    <w:abstractNumId w:val="26"/>
  </w:num>
  <w:num w:numId="2">
    <w:abstractNumId w:val="1"/>
  </w:num>
  <w:num w:numId="3">
    <w:abstractNumId w:val="28"/>
  </w:num>
  <w:num w:numId="4">
    <w:abstractNumId w:val="18"/>
  </w:num>
  <w:num w:numId="5">
    <w:abstractNumId w:val="2"/>
  </w:num>
  <w:num w:numId="6">
    <w:abstractNumId w:val="3"/>
  </w:num>
  <w:num w:numId="7">
    <w:abstractNumId w:val="14"/>
  </w:num>
  <w:num w:numId="8">
    <w:abstractNumId w:val="35"/>
  </w:num>
  <w:num w:numId="9">
    <w:abstractNumId w:val="24"/>
  </w:num>
  <w:num w:numId="10">
    <w:abstractNumId w:val="15"/>
  </w:num>
  <w:num w:numId="11">
    <w:abstractNumId w:val="6"/>
  </w:num>
  <w:num w:numId="12">
    <w:abstractNumId w:val="32"/>
  </w:num>
  <w:num w:numId="13">
    <w:abstractNumId w:val="13"/>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17"/>
  </w:num>
  <w:num w:numId="19">
    <w:abstractNumId w:val="34"/>
  </w:num>
  <w:num w:numId="20">
    <w:abstractNumId w:val="8"/>
  </w:num>
  <w:num w:numId="21">
    <w:abstractNumId w:val="20"/>
  </w:num>
  <w:num w:numId="22">
    <w:abstractNumId w:val="29"/>
  </w:num>
  <w:num w:numId="23">
    <w:abstractNumId w:val="27"/>
  </w:num>
  <w:num w:numId="24">
    <w:abstractNumId w:val="22"/>
  </w:num>
  <w:num w:numId="25">
    <w:abstractNumId w:val="30"/>
  </w:num>
  <w:num w:numId="26">
    <w:abstractNumId w:val="12"/>
  </w:num>
  <w:num w:numId="27">
    <w:abstractNumId w:val="31"/>
  </w:num>
  <w:num w:numId="28">
    <w:abstractNumId w:val="21"/>
  </w:num>
  <w:num w:numId="29">
    <w:abstractNumId w:val="23"/>
  </w:num>
  <w:num w:numId="30">
    <w:abstractNumId w:val="5"/>
  </w:num>
  <w:num w:numId="31">
    <w:abstractNumId w:val="16"/>
  </w:num>
  <w:num w:numId="32">
    <w:abstractNumId w:val="25"/>
  </w:num>
  <w:num w:numId="33">
    <w:abstractNumId w:val="19"/>
  </w:num>
  <w:num w:numId="34">
    <w:abstractNumId w:val="9"/>
  </w:num>
  <w:num w:numId="35">
    <w:abstractNumId w:val="7"/>
  </w:num>
  <w:num w:numId="36">
    <w:abstractNumId w:val="11"/>
  </w:num>
  <w:num w:numId="37">
    <w:abstractNumId w:val="4"/>
  </w:num>
  <w:num w:numId="38">
    <w:abstractNumId w:val="10"/>
  </w:num>
  <w:num w:numId="39">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9DC"/>
    <w:rsid w:val="00000352"/>
    <w:rsid w:val="00002D6D"/>
    <w:rsid w:val="00010C4C"/>
    <w:rsid w:val="00010D15"/>
    <w:rsid w:val="0001155A"/>
    <w:rsid w:val="0001216D"/>
    <w:rsid w:val="00013124"/>
    <w:rsid w:val="00015755"/>
    <w:rsid w:val="000165DD"/>
    <w:rsid w:val="00021E4A"/>
    <w:rsid w:val="00030BCA"/>
    <w:rsid w:val="00030C20"/>
    <w:rsid w:val="000315F6"/>
    <w:rsid w:val="00033243"/>
    <w:rsid w:val="0003363F"/>
    <w:rsid w:val="000345F7"/>
    <w:rsid w:val="00034A1B"/>
    <w:rsid w:val="00035836"/>
    <w:rsid w:val="00037795"/>
    <w:rsid w:val="00037874"/>
    <w:rsid w:val="00037A21"/>
    <w:rsid w:val="00040951"/>
    <w:rsid w:val="000437B6"/>
    <w:rsid w:val="00044A6A"/>
    <w:rsid w:val="00046CCF"/>
    <w:rsid w:val="000510C3"/>
    <w:rsid w:val="000513DC"/>
    <w:rsid w:val="00055D67"/>
    <w:rsid w:val="000566E6"/>
    <w:rsid w:val="00065C4C"/>
    <w:rsid w:val="000665B9"/>
    <w:rsid w:val="00066A27"/>
    <w:rsid w:val="00070722"/>
    <w:rsid w:val="00071ABB"/>
    <w:rsid w:val="0007212F"/>
    <w:rsid w:val="00072758"/>
    <w:rsid w:val="0007319B"/>
    <w:rsid w:val="000747B8"/>
    <w:rsid w:val="00075F65"/>
    <w:rsid w:val="00076209"/>
    <w:rsid w:val="00077D57"/>
    <w:rsid w:val="00077F7E"/>
    <w:rsid w:val="0008000D"/>
    <w:rsid w:val="000838DC"/>
    <w:rsid w:val="00085036"/>
    <w:rsid w:val="00090793"/>
    <w:rsid w:val="00091B64"/>
    <w:rsid w:val="000923D7"/>
    <w:rsid w:val="00097962"/>
    <w:rsid w:val="000A2B72"/>
    <w:rsid w:val="000A3F27"/>
    <w:rsid w:val="000A7C1F"/>
    <w:rsid w:val="000B0A2A"/>
    <w:rsid w:val="000B1C46"/>
    <w:rsid w:val="000B3614"/>
    <w:rsid w:val="000B462F"/>
    <w:rsid w:val="000B64E6"/>
    <w:rsid w:val="000B7B9C"/>
    <w:rsid w:val="000B7F36"/>
    <w:rsid w:val="000C0694"/>
    <w:rsid w:val="000C1F59"/>
    <w:rsid w:val="000C356E"/>
    <w:rsid w:val="000C6E81"/>
    <w:rsid w:val="000D07DC"/>
    <w:rsid w:val="000D1172"/>
    <w:rsid w:val="000D1C99"/>
    <w:rsid w:val="000E5080"/>
    <w:rsid w:val="000E66FF"/>
    <w:rsid w:val="000E6F6F"/>
    <w:rsid w:val="000F32F7"/>
    <w:rsid w:val="000F4F47"/>
    <w:rsid w:val="00102249"/>
    <w:rsid w:val="00102399"/>
    <w:rsid w:val="00102A2A"/>
    <w:rsid w:val="001044EE"/>
    <w:rsid w:val="00113EDE"/>
    <w:rsid w:val="00113F0A"/>
    <w:rsid w:val="00117125"/>
    <w:rsid w:val="00122146"/>
    <w:rsid w:val="001257D6"/>
    <w:rsid w:val="001362C9"/>
    <w:rsid w:val="001404D5"/>
    <w:rsid w:val="00144106"/>
    <w:rsid w:val="001454D5"/>
    <w:rsid w:val="001458F9"/>
    <w:rsid w:val="00145988"/>
    <w:rsid w:val="0015047B"/>
    <w:rsid w:val="00151E7D"/>
    <w:rsid w:val="00153E64"/>
    <w:rsid w:val="00156C31"/>
    <w:rsid w:val="001600C6"/>
    <w:rsid w:val="001625CE"/>
    <w:rsid w:val="00164DFA"/>
    <w:rsid w:val="001659ED"/>
    <w:rsid w:val="001714D7"/>
    <w:rsid w:val="00171FDD"/>
    <w:rsid w:val="001819F3"/>
    <w:rsid w:val="00182BE3"/>
    <w:rsid w:val="00184614"/>
    <w:rsid w:val="001903ED"/>
    <w:rsid w:val="00196D61"/>
    <w:rsid w:val="001A65A3"/>
    <w:rsid w:val="001A67F6"/>
    <w:rsid w:val="001B1E7F"/>
    <w:rsid w:val="001B4219"/>
    <w:rsid w:val="001B563F"/>
    <w:rsid w:val="001B5C84"/>
    <w:rsid w:val="001B6338"/>
    <w:rsid w:val="001C01BB"/>
    <w:rsid w:val="001C2C3D"/>
    <w:rsid w:val="001C330E"/>
    <w:rsid w:val="001C43D7"/>
    <w:rsid w:val="001D243C"/>
    <w:rsid w:val="001D2A40"/>
    <w:rsid w:val="001D6F62"/>
    <w:rsid w:val="001E1CF0"/>
    <w:rsid w:val="001E5BF3"/>
    <w:rsid w:val="001E743A"/>
    <w:rsid w:val="001E7E92"/>
    <w:rsid w:val="001F03AC"/>
    <w:rsid w:val="001F1081"/>
    <w:rsid w:val="001F382F"/>
    <w:rsid w:val="001F4CB7"/>
    <w:rsid w:val="001F70FE"/>
    <w:rsid w:val="001F76E3"/>
    <w:rsid w:val="0020352C"/>
    <w:rsid w:val="00204967"/>
    <w:rsid w:val="00206320"/>
    <w:rsid w:val="00206B3D"/>
    <w:rsid w:val="00206B9D"/>
    <w:rsid w:val="00213151"/>
    <w:rsid w:val="00220ADD"/>
    <w:rsid w:val="00220FE8"/>
    <w:rsid w:val="00224D5D"/>
    <w:rsid w:val="002279FD"/>
    <w:rsid w:val="0023096E"/>
    <w:rsid w:val="00240B7D"/>
    <w:rsid w:val="00244E6B"/>
    <w:rsid w:val="0025105C"/>
    <w:rsid w:val="00252258"/>
    <w:rsid w:val="002524EC"/>
    <w:rsid w:val="002532D9"/>
    <w:rsid w:val="00257A7F"/>
    <w:rsid w:val="002619DE"/>
    <w:rsid w:val="002672C3"/>
    <w:rsid w:val="00267FAD"/>
    <w:rsid w:val="00271B26"/>
    <w:rsid w:val="0027382E"/>
    <w:rsid w:val="00276F52"/>
    <w:rsid w:val="002770E3"/>
    <w:rsid w:val="002807ED"/>
    <w:rsid w:val="00284D01"/>
    <w:rsid w:val="00287255"/>
    <w:rsid w:val="002915E4"/>
    <w:rsid w:val="00295689"/>
    <w:rsid w:val="002A0C55"/>
    <w:rsid w:val="002A2AEA"/>
    <w:rsid w:val="002A5243"/>
    <w:rsid w:val="002A5482"/>
    <w:rsid w:val="002B2324"/>
    <w:rsid w:val="002B35BA"/>
    <w:rsid w:val="002B3819"/>
    <w:rsid w:val="002B48C4"/>
    <w:rsid w:val="002B65BF"/>
    <w:rsid w:val="002B6C3D"/>
    <w:rsid w:val="002C1F53"/>
    <w:rsid w:val="002C231D"/>
    <w:rsid w:val="002C289A"/>
    <w:rsid w:val="002C4497"/>
    <w:rsid w:val="002C4751"/>
    <w:rsid w:val="002D260C"/>
    <w:rsid w:val="002D344B"/>
    <w:rsid w:val="002D6CE1"/>
    <w:rsid w:val="002D6F7F"/>
    <w:rsid w:val="002E0C67"/>
    <w:rsid w:val="002E16F3"/>
    <w:rsid w:val="002E74ED"/>
    <w:rsid w:val="002F0885"/>
    <w:rsid w:val="002F3CF4"/>
    <w:rsid w:val="002F3DAF"/>
    <w:rsid w:val="002F7348"/>
    <w:rsid w:val="002F74D4"/>
    <w:rsid w:val="003052C0"/>
    <w:rsid w:val="0030594A"/>
    <w:rsid w:val="00307DF7"/>
    <w:rsid w:val="00307E23"/>
    <w:rsid w:val="0031183A"/>
    <w:rsid w:val="00312671"/>
    <w:rsid w:val="00312C71"/>
    <w:rsid w:val="0031593A"/>
    <w:rsid w:val="00321306"/>
    <w:rsid w:val="00324C58"/>
    <w:rsid w:val="003272CE"/>
    <w:rsid w:val="0032751C"/>
    <w:rsid w:val="00327EF4"/>
    <w:rsid w:val="0033114D"/>
    <w:rsid w:val="003313DD"/>
    <w:rsid w:val="00331EE4"/>
    <w:rsid w:val="0033402E"/>
    <w:rsid w:val="00334639"/>
    <w:rsid w:val="00340928"/>
    <w:rsid w:val="003425BF"/>
    <w:rsid w:val="003468D4"/>
    <w:rsid w:val="0035037E"/>
    <w:rsid w:val="00350574"/>
    <w:rsid w:val="003526B6"/>
    <w:rsid w:val="00353EAE"/>
    <w:rsid w:val="00355FE4"/>
    <w:rsid w:val="00361752"/>
    <w:rsid w:val="00362A3F"/>
    <w:rsid w:val="00366C83"/>
    <w:rsid w:val="003701F3"/>
    <w:rsid w:val="00373C4C"/>
    <w:rsid w:val="003754BD"/>
    <w:rsid w:val="00376289"/>
    <w:rsid w:val="0037640F"/>
    <w:rsid w:val="00382C46"/>
    <w:rsid w:val="00383782"/>
    <w:rsid w:val="003854A4"/>
    <w:rsid w:val="0038585A"/>
    <w:rsid w:val="00386388"/>
    <w:rsid w:val="0039513F"/>
    <w:rsid w:val="00396899"/>
    <w:rsid w:val="003A2D30"/>
    <w:rsid w:val="003A39A3"/>
    <w:rsid w:val="003B20FB"/>
    <w:rsid w:val="003B3C0A"/>
    <w:rsid w:val="003B49BD"/>
    <w:rsid w:val="003B49FC"/>
    <w:rsid w:val="003B65CA"/>
    <w:rsid w:val="003C27A6"/>
    <w:rsid w:val="003C505C"/>
    <w:rsid w:val="003C69D2"/>
    <w:rsid w:val="003D0F1E"/>
    <w:rsid w:val="003D1640"/>
    <w:rsid w:val="003E06ED"/>
    <w:rsid w:val="003E3641"/>
    <w:rsid w:val="003E38FC"/>
    <w:rsid w:val="003F081D"/>
    <w:rsid w:val="003F4355"/>
    <w:rsid w:val="003F52E8"/>
    <w:rsid w:val="00401024"/>
    <w:rsid w:val="00405825"/>
    <w:rsid w:val="00413C64"/>
    <w:rsid w:val="00423CA1"/>
    <w:rsid w:val="00424CFC"/>
    <w:rsid w:val="00426164"/>
    <w:rsid w:val="00426390"/>
    <w:rsid w:val="0042642B"/>
    <w:rsid w:val="004273B3"/>
    <w:rsid w:val="00427888"/>
    <w:rsid w:val="00427FE6"/>
    <w:rsid w:val="0043095C"/>
    <w:rsid w:val="00431F16"/>
    <w:rsid w:val="004330CA"/>
    <w:rsid w:val="0043462F"/>
    <w:rsid w:val="004347A9"/>
    <w:rsid w:val="00437404"/>
    <w:rsid w:val="00441E99"/>
    <w:rsid w:val="00443D3C"/>
    <w:rsid w:val="00447160"/>
    <w:rsid w:val="004543AA"/>
    <w:rsid w:val="00455ADC"/>
    <w:rsid w:val="00456A2F"/>
    <w:rsid w:val="004603D7"/>
    <w:rsid w:val="00462BF8"/>
    <w:rsid w:val="00465A57"/>
    <w:rsid w:val="0047284C"/>
    <w:rsid w:val="004737C1"/>
    <w:rsid w:val="00473CCA"/>
    <w:rsid w:val="00473FF1"/>
    <w:rsid w:val="00490D50"/>
    <w:rsid w:val="004A34D0"/>
    <w:rsid w:val="004A6E28"/>
    <w:rsid w:val="004B45DE"/>
    <w:rsid w:val="004B6206"/>
    <w:rsid w:val="004B62A4"/>
    <w:rsid w:val="004C0066"/>
    <w:rsid w:val="004C22BD"/>
    <w:rsid w:val="004C2A01"/>
    <w:rsid w:val="004C4CB1"/>
    <w:rsid w:val="004C7FC7"/>
    <w:rsid w:val="004D2B13"/>
    <w:rsid w:val="004D3DBE"/>
    <w:rsid w:val="004D4C46"/>
    <w:rsid w:val="004D66BB"/>
    <w:rsid w:val="004D7009"/>
    <w:rsid w:val="004E09F6"/>
    <w:rsid w:val="004E1524"/>
    <w:rsid w:val="004E235E"/>
    <w:rsid w:val="004E23B7"/>
    <w:rsid w:val="004E5355"/>
    <w:rsid w:val="004E5DB6"/>
    <w:rsid w:val="004F251F"/>
    <w:rsid w:val="004F410C"/>
    <w:rsid w:val="004F5977"/>
    <w:rsid w:val="0050177D"/>
    <w:rsid w:val="005032FB"/>
    <w:rsid w:val="0050784B"/>
    <w:rsid w:val="00516875"/>
    <w:rsid w:val="005204D9"/>
    <w:rsid w:val="00520A51"/>
    <w:rsid w:val="00520F4A"/>
    <w:rsid w:val="0052304F"/>
    <w:rsid w:val="00533FA6"/>
    <w:rsid w:val="0053624E"/>
    <w:rsid w:val="00544857"/>
    <w:rsid w:val="00551336"/>
    <w:rsid w:val="005516BA"/>
    <w:rsid w:val="00554588"/>
    <w:rsid w:val="00562528"/>
    <w:rsid w:val="00563118"/>
    <w:rsid w:val="00565AFB"/>
    <w:rsid w:val="00566398"/>
    <w:rsid w:val="00567B79"/>
    <w:rsid w:val="0057035A"/>
    <w:rsid w:val="005720C8"/>
    <w:rsid w:val="00575D0B"/>
    <w:rsid w:val="00577532"/>
    <w:rsid w:val="005804F0"/>
    <w:rsid w:val="00581482"/>
    <w:rsid w:val="00583179"/>
    <w:rsid w:val="005873E5"/>
    <w:rsid w:val="00590C4A"/>
    <w:rsid w:val="005912CF"/>
    <w:rsid w:val="00591C7D"/>
    <w:rsid w:val="005B0A09"/>
    <w:rsid w:val="005B2FE4"/>
    <w:rsid w:val="005B5063"/>
    <w:rsid w:val="005C12C2"/>
    <w:rsid w:val="005C3C94"/>
    <w:rsid w:val="005D183E"/>
    <w:rsid w:val="005D76F7"/>
    <w:rsid w:val="005E359D"/>
    <w:rsid w:val="005E396B"/>
    <w:rsid w:val="005E4FA7"/>
    <w:rsid w:val="005E637F"/>
    <w:rsid w:val="005E64B0"/>
    <w:rsid w:val="005F0509"/>
    <w:rsid w:val="005F5576"/>
    <w:rsid w:val="005F6C80"/>
    <w:rsid w:val="005F769F"/>
    <w:rsid w:val="00601503"/>
    <w:rsid w:val="00602A8F"/>
    <w:rsid w:val="006036B0"/>
    <w:rsid w:val="00604808"/>
    <w:rsid w:val="0061074A"/>
    <w:rsid w:val="00610F5F"/>
    <w:rsid w:val="006129B0"/>
    <w:rsid w:val="00620DD3"/>
    <w:rsid w:val="006256B1"/>
    <w:rsid w:val="00625744"/>
    <w:rsid w:val="00626BAC"/>
    <w:rsid w:val="00627257"/>
    <w:rsid w:val="0063092A"/>
    <w:rsid w:val="00631B3D"/>
    <w:rsid w:val="00632E4F"/>
    <w:rsid w:val="006337E6"/>
    <w:rsid w:val="0063581C"/>
    <w:rsid w:val="00637730"/>
    <w:rsid w:val="00650420"/>
    <w:rsid w:val="00654C28"/>
    <w:rsid w:val="00655496"/>
    <w:rsid w:val="006622C0"/>
    <w:rsid w:val="00662583"/>
    <w:rsid w:val="0066260E"/>
    <w:rsid w:val="00662C81"/>
    <w:rsid w:val="00663DE1"/>
    <w:rsid w:val="00665962"/>
    <w:rsid w:val="0066705B"/>
    <w:rsid w:val="006720E1"/>
    <w:rsid w:val="006724F1"/>
    <w:rsid w:val="00673B48"/>
    <w:rsid w:val="0068132F"/>
    <w:rsid w:val="00682931"/>
    <w:rsid w:val="00683965"/>
    <w:rsid w:val="00685319"/>
    <w:rsid w:val="00686C36"/>
    <w:rsid w:val="00690817"/>
    <w:rsid w:val="00690EDF"/>
    <w:rsid w:val="00691807"/>
    <w:rsid w:val="00691810"/>
    <w:rsid w:val="006919CF"/>
    <w:rsid w:val="006938A1"/>
    <w:rsid w:val="006948D4"/>
    <w:rsid w:val="00694B1A"/>
    <w:rsid w:val="006A127B"/>
    <w:rsid w:val="006A3AD9"/>
    <w:rsid w:val="006A4706"/>
    <w:rsid w:val="006A5FC3"/>
    <w:rsid w:val="006B13C4"/>
    <w:rsid w:val="006B1C2B"/>
    <w:rsid w:val="006B45B8"/>
    <w:rsid w:val="006C4C14"/>
    <w:rsid w:val="006C6184"/>
    <w:rsid w:val="006C7C17"/>
    <w:rsid w:val="006D0E53"/>
    <w:rsid w:val="006D1074"/>
    <w:rsid w:val="006D5DC2"/>
    <w:rsid w:val="006D60A8"/>
    <w:rsid w:val="006D625B"/>
    <w:rsid w:val="006D6AA5"/>
    <w:rsid w:val="006E136E"/>
    <w:rsid w:val="006E1484"/>
    <w:rsid w:val="006E17B7"/>
    <w:rsid w:val="006E1994"/>
    <w:rsid w:val="006E1C53"/>
    <w:rsid w:val="006E1D1D"/>
    <w:rsid w:val="006E5D64"/>
    <w:rsid w:val="006F2D17"/>
    <w:rsid w:val="006F428A"/>
    <w:rsid w:val="006F45FF"/>
    <w:rsid w:val="006F7101"/>
    <w:rsid w:val="0070081C"/>
    <w:rsid w:val="0070268B"/>
    <w:rsid w:val="00705A52"/>
    <w:rsid w:val="00705BA6"/>
    <w:rsid w:val="00706AA2"/>
    <w:rsid w:val="0071486D"/>
    <w:rsid w:val="00717D9A"/>
    <w:rsid w:val="00720465"/>
    <w:rsid w:val="00722C62"/>
    <w:rsid w:val="00724287"/>
    <w:rsid w:val="00730C6C"/>
    <w:rsid w:val="007310AF"/>
    <w:rsid w:val="00731676"/>
    <w:rsid w:val="00731E05"/>
    <w:rsid w:val="00732DA1"/>
    <w:rsid w:val="00733028"/>
    <w:rsid w:val="00733CEB"/>
    <w:rsid w:val="00736075"/>
    <w:rsid w:val="0073687B"/>
    <w:rsid w:val="007407FF"/>
    <w:rsid w:val="007415C6"/>
    <w:rsid w:val="007416A2"/>
    <w:rsid w:val="007446F2"/>
    <w:rsid w:val="00754F7B"/>
    <w:rsid w:val="00762A29"/>
    <w:rsid w:val="00763029"/>
    <w:rsid w:val="007650B6"/>
    <w:rsid w:val="0076524F"/>
    <w:rsid w:val="00767EB3"/>
    <w:rsid w:val="007725F9"/>
    <w:rsid w:val="00773BCC"/>
    <w:rsid w:val="00775332"/>
    <w:rsid w:val="00783442"/>
    <w:rsid w:val="0078411E"/>
    <w:rsid w:val="0078509D"/>
    <w:rsid w:val="00785450"/>
    <w:rsid w:val="00785552"/>
    <w:rsid w:val="00786950"/>
    <w:rsid w:val="00787702"/>
    <w:rsid w:val="007903B5"/>
    <w:rsid w:val="007976B5"/>
    <w:rsid w:val="007A1315"/>
    <w:rsid w:val="007B02BF"/>
    <w:rsid w:val="007B09AF"/>
    <w:rsid w:val="007B2273"/>
    <w:rsid w:val="007B3125"/>
    <w:rsid w:val="007B4FDD"/>
    <w:rsid w:val="007B56FE"/>
    <w:rsid w:val="007C07C1"/>
    <w:rsid w:val="007C184D"/>
    <w:rsid w:val="007C3373"/>
    <w:rsid w:val="007C4164"/>
    <w:rsid w:val="007C4F01"/>
    <w:rsid w:val="007C6FC5"/>
    <w:rsid w:val="007D03B5"/>
    <w:rsid w:val="007D2444"/>
    <w:rsid w:val="007D3D6A"/>
    <w:rsid w:val="007D5695"/>
    <w:rsid w:val="007D72A4"/>
    <w:rsid w:val="007E32B4"/>
    <w:rsid w:val="007F0CB4"/>
    <w:rsid w:val="007F3DA4"/>
    <w:rsid w:val="007F4B1A"/>
    <w:rsid w:val="007F5403"/>
    <w:rsid w:val="007F6FFE"/>
    <w:rsid w:val="007F792F"/>
    <w:rsid w:val="00800AE3"/>
    <w:rsid w:val="00800C47"/>
    <w:rsid w:val="008011A1"/>
    <w:rsid w:val="0081080A"/>
    <w:rsid w:val="008145E0"/>
    <w:rsid w:val="00815BA4"/>
    <w:rsid w:val="00816FFF"/>
    <w:rsid w:val="008172A8"/>
    <w:rsid w:val="00817422"/>
    <w:rsid w:val="0082278D"/>
    <w:rsid w:val="008231D7"/>
    <w:rsid w:val="00825D2E"/>
    <w:rsid w:val="00825E13"/>
    <w:rsid w:val="00827654"/>
    <w:rsid w:val="00831439"/>
    <w:rsid w:val="00831C82"/>
    <w:rsid w:val="008325FD"/>
    <w:rsid w:val="008337F5"/>
    <w:rsid w:val="0083753C"/>
    <w:rsid w:val="00842A65"/>
    <w:rsid w:val="00843D1B"/>
    <w:rsid w:val="008449FA"/>
    <w:rsid w:val="008506DF"/>
    <w:rsid w:val="0085592C"/>
    <w:rsid w:val="00862239"/>
    <w:rsid w:val="00863687"/>
    <w:rsid w:val="008647A2"/>
    <w:rsid w:val="008648E6"/>
    <w:rsid w:val="00876E02"/>
    <w:rsid w:val="0088062C"/>
    <w:rsid w:val="008810ED"/>
    <w:rsid w:val="00886054"/>
    <w:rsid w:val="00886969"/>
    <w:rsid w:val="00886FEA"/>
    <w:rsid w:val="00896ACD"/>
    <w:rsid w:val="008A06F6"/>
    <w:rsid w:val="008A4E91"/>
    <w:rsid w:val="008A585D"/>
    <w:rsid w:val="008B1F6E"/>
    <w:rsid w:val="008B384C"/>
    <w:rsid w:val="008B3B22"/>
    <w:rsid w:val="008B3EFB"/>
    <w:rsid w:val="008B4CF6"/>
    <w:rsid w:val="008B6F48"/>
    <w:rsid w:val="008C1A8B"/>
    <w:rsid w:val="008C4FFE"/>
    <w:rsid w:val="008C7DAD"/>
    <w:rsid w:val="008D523A"/>
    <w:rsid w:val="008D76A4"/>
    <w:rsid w:val="008E035F"/>
    <w:rsid w:val="008E4499"/>
    <w:rsid w:val="008E6207"/>
    <w:rsid w:val="008E67C2"/>
    <w:rsid w:val="008F7CB9"/>
    <w:rsid w:val="00900952"/>
    <w:rsid w:val="009071F2"/>
    <w:rsid w:val="00907CCF"/>
    <w:rsid w:val="009100C4"/>
    <w:rsid w:val="00912A2D"/>
    <w:rsid w:val="00913BCB"/>
    <w:rsid w:val="00930BE6"/>
    <w:rsid w:val="00934A34"/>
    <w:rsid w:val="00934AE4"/>
    <w:rsid w:val="00935461"/>
    <w:rsid w:val="00936527"/>
    <w:rsid w:val="009373A5"/>
    <w:rsid w:val="0094507F"/>
    <w:rsid w:val="0094629F"/>
    <w:rsid w:val="009462D4"/>
    <w:rsid w:val="00947AB0"/>
    <w:rsid w:val="00954A20"/>
    <w:rsid w:val="009550FF"/>
    <w:rsid w:val="009557EA"/>
    <w:rsid w:val="00960252"/>
    <w:rsid w:val="009602A0"/>
    <w:rsid w:val="00960A1C"/>
    <w:rsid w:val="00962A1C"/>
    <w:rsid w:val="00962EB6"/>
    <w:rsid w:val="009703CB"/>
    <w:rsid w:val="00971B6E"/>
    <w:rsid w:val="00974D38"/>
    <w:rsid w:val="00976198"/>
    <w:rsid w:val="00976420"/>
    <w:rsid w:val="009815F0"/>
    <w:rsid w:val="0098192C"/>
    <w:rsid w:val="00981E4C"/>
    <w:rsid w:val="00982EDF"/>
    <w:rsid w:val="009836C3"/>
    <w:rsid w:val="00991A71"/>
    <w:rsid w:val="009932EC"/>
    <w:rsid w:val="00995502"/>
    <w:rsid w:val="00996184"/>
    <w:rsid w:val="009A32D9"/>
    <w:rsid w:val="009A4F0D"/>
    <w:rsid w:val="009A6786"/>
    <w:rsid w:val="009A68BE"/>
    <w:rsid w:val="009B01C1"/>
    <w:rsid w:val="009B6371"/>
    <w:rsid w:val="009B7A44"/>
    <w:rsid w:val="009C010D"/>
    <w:rsid w:val="009C25A8"/>
    <w:rsid w:val="009C49DC"/>
    <w:rsid w:val="009C530E"/>
    <w:rsid w:val="009C678C"/>
    <w:rsid w:val="009C7573"/>
    <w:rsid w:val="009D3947"/>
    <w:rsid w:val="009D46E7"/>
    <w:rsid w:val="009D5BB7"/>
    <w:rsid w:val="009D60C4"/>
    <w:rsid w:val="009D6F53"/>
    <w:rsid w:val="009E1D09"/>
    <w:rsid w:val="009E5728"/>
    <w:rsid w:val="009E5AF9"/>
    <w:rsid w:val="009E6AEF"/>
    <w:rsid w:val="009F082A"/>
    <w:rsid w:val="009F0A34"/>
    <w:rsid w:val="009F74D6"/>
    <w:rsid w:val="00A036BD"/>
    <w:rsid w:val="00A060A8"/>
    <w:rsid w:val="00A126F0"/>
    <w:rsid w:val="00A15C76"/>
    <w:rsid w:val="00A1694D"/>
    <w:rsid w:val="00A1699B"/>
    <w:rsid w:val="00A1797D"/>
    <w:rsid w:val="00A21724"/>
    <w:rsid w:val="00A23AE4"/>
    <w:rsid w:val="00A30DBB"/>
    <w:rsid w:val="00A30FF7"/>
    <w:rsid w:val="00A32502"/>
    <w:rsid w:val="00A32C13"/>
    <w:rsid w:val="00A35248"/>
    <w:rsid w:val="00A357FC"/>
    <w:rsid w:val="00A43FB0"/>
    <w:rsid w:val="00A45F47"/>
    <w:rsid w:val="00A46E40"/>
    <w:rsid w:val="00A47D91"/>
    <w:rsid w:val="00A536D5"/>
    <w:rsid w:val="00A5401D"/>
    <w:rsid w:val="00A54432"/>
    <w:rsid w:val="00A54896"/>
    <w:rsid w:val="00A61C0A"/>
    <w:rsid w:val="00A64061"/>
    <w:rsid w:val="00A653B3"/>
    <w:rsid w:val="00A6639E"/>
    <w:rsid w:val="00A717F1"/>
    <w:rsid w:val="00A72E33"/>
    <w:rsid w:val="00A73885"/>
    <w:rsid w:val="00A756AD"/>
    <w:rsid w:val="00A77D37"/>
    <w:rsid w:val="00A818F1"/>
    <w:rsid w:val="00A851A2"/>
    <w:rsid w:val="00A93469"/>
    <w:rsid w:val="00A94D12"/>
    <w:rsid w:val="00AA4B28"/>
    <w:rsid w:val="00AA5889"/>
    <w:rsid w:val="00AA60C4"/>
    <w:rsid w:val="00AB0BA5"/>
    <w:rsid w:val="00AB7829"/>
    <w:rsid w:val="00AB7D86"/>
    <w:rsid w:val="00AC0763"/>
    <w:rsid w:val="00AC3E88"/>
    <w:rsid w:val="00AD27BC"/>
    <w:rsid w:val="00AD2B83"/>
    <w:rsid w:val="00AD32F5"/>
    <w:rsid w:val="00AD4A16"/>
    <w:rsid w:val="00AD6602"/>
    <w:rsid w:val="00AE0CEA"/>
    <w:rsid w:val="00AE32C1"/>
    <w:rsid w:val="00AF06AA"/>
    <w:rsid w:val="00AF120E"/>
    <w:rsid w:val="00AF1661"/>
    <w:rsid w:val="00AF3C19"/>
    <w:rsid w:val="00AF772A"/>
    <w:rsid w:val="00B01498"/>
    <w:rsid w:val="00B01A41"/>
    <w:rsid w:val="00B02B5A"/>
    <w:rsid w:val="00B04757"/>
    <w:rsid w:val="00B0726E"/>
    <w:rsid w:val="00B10C3B"/>
    <w:rsid w:val="00B113FE"/>
    <w:rsid w:val="00B13018"/>
    <w:rsid w:val="00B13142"/>
    <w:rsid w:val="00B1314C"/>
    <w:rsid w:val="00B140AF"/>
    <w:rsid w:val="00B16211"/>
    <w:rsid w:val="00B167B5"/>
    <w:rsid w:val="00B21EFA"/>
    <w:rsid w:val="00B2362B"/>
    <w:rsid w:val="00B24676"/>
    <w:rsid w:val="00B24946"/>
    <w:rsid w:val="00B32076"/>
    <w:rsid w:val="00B33B4E"/>
    <w:rsid w:val="00B33C7C"/>
    <w:rsid w:val="00B351D0"/>
    <w:rsid w:val="00B36C82"/>
    <w:rsid w:val="00B42960"/>
    <w:rsid w:val="00B45783"/>
    <w:rsid w:val="00B45948"/>
    <w:rsid w:val="00B50574"/>
    <w:rsid w:val="00B53135"/>
    <w:rsid w:val="00B542B7"/>
    <w:rsid w:val="00B55E13"/>
    <w:rsid w:val="00B564FE"/>
    <w:rsid w:val="00B56C25"/>
    <w:rsid w:val="00B618BB"/>
    <w:rsid w:val="00B63D8E"/>
    <w:rsid w:val="00B67807"/>
    <w:rsid w:val="00B75690"/>
    <w:rsid w:val="00B75C17"/>
    <w:rsid w:val="00B77757"/>
    <w:rsid w:val="00B83030"/>
    <w:rsid w:val="00B839BA"/>
    <w:rsid w:val="00B84102"/>
    <w:rsid w:val="00B90C4A"/>
    <w:rsid w:val="00B957B7"/>
    <w:rsid w:val="00B96A3B"/>
    <w:rsid w:val="00BA3902"/>
    <w:rsid w:val="00BA3BAA"/>
    <w:rsid w:val="00BA464E"/>
    <w:rsid w:val="00BB1256"/>
    <w:rsid w:val="00BB4956"/>
    <w:rsid w:val="00BC144C"/>
    <w:rsid w:val="00BC1CEB"/>
    <w:rsid w:val="00BC34A8"/>
    <w:rsid w:val="00BD050A"/>
    <w:rsid w:val="00BD05F2"/>
    <w:rsid w:val="00BD16CF"/>
    <w:rsid w:val="00BD2A1D"/>
    <w:rsid w:val="00BD310B"/>
    <w:rsid w:val="00BD3B06"/>
    <w:rsid w:val="00BD57E9"/>
    <w:rsid w:val="00BD64E4"/>
    <w:rsid w:val="00BE4A81"/>
    <w:rsid w:val="00BE6971"/>
    <w:rsid w:val="00BE6DE2"/>
    <w:rsid w:val="00BF24EE"/>
    <w:rsid w:val="00BF4C10"/>
    <w:rsid w:val="00C001EC"/>
    <w:rsid w:val="00C008DB"/>
    <w:rsid w:val="00C00B44"/>
    <w:rsid w:val="00C01BF1"/>
    <w:rsid w:val="00C024BC"/>
    <w:rsid w:val="00C0331C"/>
    <w:rsid w:val="00C10B58"/>
    <w:rsid w:val="00C13C20"/>
    <w:rsid w:val="00C14789"/>
    <w:rsid w:val="00C14B2A"/>
    <w:rsid w:val="00C159BC"/>
    <w:rsid w:val="00C1776C"/>
    <w:rsid w:val="00C17D9C"/>
    <w:rsid w:val="00C20438"/>
    <w:rsid w:val="00C206CC"/>
    <w:rsid w:val="00C22F35"/>
    <w:rsid w:val="00C23C18"/>
    <w:rsid w:val="00C30164"/>
    <w:rsid w:val="00C36CCD"/>
    <w:rsid w:val="00C37FD3"/>
    <w:rsid w:val="00C4216C"/>
    <w:rsid w:val="00C42CE9"/>
    <w:rsid w:val="00C4404E"/>
    <w:rsid w:val="00C46BC3"/>
    <w:rsid w:val="00C47039"/>
    <w:rsid w:val="00C55287"/>
    <w:rsid w:val="00C56CE4"/>
    <w:rsid w:val="00C57819"/>
    <w:rsid w:val="00C60FA0"/>
    <w:rsid w:val="00C73701"/>
    <w:rsid w:val="00C817A2"/>
    <w:rsid w:val="00C81882"/>
    <w:rsid w:val="00C82EE4"/>
    <w:rsid w:val="00C83453"/>
    <w:rsid w:val="00C86B01"/>
    <w:rsid w:val="00C90290"/>
    <w:rsid w:val="00C938BF"/>
    <w:rsid w:val="00C94304"/>
    <w:rsid w:val="00C947C0"/>
    <w:rsid w:val="00C953AB"/>
    <w:rsid w:val="00CA1FCA"/>
    <w:rsid w:val="00CA296C"/>
    <w:rsid w:val="00CA401C"/>
    <w:rsid w:val="00CA4D22"/>
    <w:rsid w:val="00CB062D"/>
    <w:rsid w:val="00CB1774"/>
    <w:rsid w:val="00CB2823"/>
    <w:rsid w:val="00CB5F23"/>
    <w:rsid w:val="00CB673A"/>
    <w:rsid w:val="00CC0565"/>
    <w:rsid w:val="00CC2565"/>
    <w:rsid w:val="00CC37FE"/>
    <w:rsid w:val="00CC6ACA"/>
    <w:rsid w:val="00CC72D6"/>
    <w:rsid w:val="00CC794A"/>
    <w:rsid w:val="00CC7E44"/>
    <w:rsid w:val="00CC7FA6"/>
    <w:rsid w:val="00CD1894"/>
    <w:rsid w:val="00CD2179"/>
    <w:rsid w:val="00CD6DAD"/>
    <w:rsid w:val="00CE0155"/>
    <w:rsid w:val="00CE4422"/>
    <w:rsid w:val="00CE51BC"/>
    <w:rsid w:val="00CE55E8"/>
    <w:rsid w:val="00CE69C2"/>
    <w:rsid w:val="00CE6D6B"/>
    <w:rsid w:val="00CE7C43"/>
    <w:rsid w:val="00CF0BBA"/>
    <w:rsid w:val="00CF797A"/>
    <w:rsid w:val="00D03F54"/>
    <w:rsid w:val="00D0411C"/>
    <w:rsid w:val="00D103CB"/>
    <w:rsid w:val="00D10C2D"/>
    <w:rsid w:val="00D10DE7"/>
    <w:rsid w:val="00D10FBC"/>
    <w:rsid w:val="00D132D7"/>
    <w:rsid w:val="00D14E43"/>
    <w:rsid w:val="00D210D5"/>
    <w:rsid w:val="00D22148"/>
    <w:rsid w:val="00D25B0E"/>
    <w:rsid w:val="00D27A9F"/>
    <w:rsid w:val="00D315F9"/>
    <w:rsid w:val="00D31F4B"/>
    <w:rsid w:val="00D32419"/>
    <w:rsid w:val="00D40452"/>
    <w:rsid w:val="00D43058"/>
    <w:rsid w:val="00D4499A"/>
    <w:rsid w:val="00D44A77"/>
    <w:rsid w:val="00D45651"/>
    <w:rsid w:val="00D45702"/>
    <w:rsid w:val="00D4693E"/>
    <w:rsid w:val="00D506A9"/>
    <w:rsid w:val="00D55A7F"/>
    <w:rsid w:val="00D56B9B"/>
    <w:rsid w:val="00D576BB"/>
    <w:rsid w:val="00D62043"/>
    <w:rsid w:val="00D63374"/>
    <w:rsid w:val="00D70055"/>
    <w:rsid w:val="00D750C5"/>
    <w:rsid w:val="00D77A87"/>
    <w:rsid w:val="00D80B31"/>
    <w:rsid w:val="00D833D3"/>
    <w:rsid w:val="00D8485F"/>
    <w:rsid w:val="00D84C73"/>
    <w:rsid w:val="00D84CC1"/>
    <w:rsid w:val="00D84D74"/>
    <w:rsid w:val="00D9060F"/>
    <w:rsid w:val="00D94F75"/>
    <w:rsid w:val="00D972D5"/>
    <w:rsid w:val="00DA7040"/>
    <w:rsid w:val="00DB19C3"/>
    <w:rsid w:val="00DB6286"/>
    <w:rsid w:val="00DB7D8E"/>
    <w:rsid w:val="00DC20AB"/>
    <w:rsid w:val="00DC68F0"/>
    <w:rsid w:val="00DD0DBC"/>
    <w:rsid w:val="00DD1514"/>
    <w:rsid w:val="00DD1658"/>
    <w:rsid w:val="00DD2301"/>
    <w:rsid w:val="00DD6AC0"/>
    <w:rsid w:val="00DD75DD"/>
    <w:rsid w:val="00DE04B3"/>
    <w:rsid w:val="00DE120A"/>
    <w:rsid w:val="00DE3B49"/>
    <w:rsid w:val="00DE40E7"/>
    <w:rsid w:val="00DE44D8"/>
    <w:rsid w:val="00DE61FD"/>
    <w:rsid w:val="00DE66C2"/>
    <w:rsid w:val="00DF4135"/>
    <w:rsid w:val="00DF48C8"/>
    <w:rsid w:val="00DF7B9B"/>
    <w:rsid w:val="00E00B9D"/>
    <w:rsid w:val="00E01E2A"/>
    <w:rsid w:val="00E05F67"/>
    <w:rsid w:val="00E072B5"/>
    <w:rsid w:val="00E104C2"/>
    <w:rsid w:val="00E107E5"/>
    <w:rsid w:val="00E12B09"/>
    <w:rsid w:val="00E137D4"/>
    <w:rsid w:val="00E14C53"/>
    <w:rsid w:val="00E16FD0"/>
    <w:rsid w:val="00E2023F"/>
    <w:rsid w:val="00E20997"/>
    <w:rsid w:val="00E2181F"/>
    <w:rsid w:val="00E24807"/>
    <w:rsid w:val="00E270AE"/>
    <w:rsid w:val="00E27B02"/>
    <w:rsid w:val="00E3150A"/>
    <w:rsid w:val="00E40C5B"/>
    <w:rsid w:val="00E41224"/>
    <w:rsid w:val="00E47101"/>
    <w:rsid w:val="00E52964"/>
    <w:rsid w:val="00E5593D"/>
    <w:rsid w:val="00E569E1"/>
    <w:rsid w:val="00E63A55"/>
    <w:rsid w:val="00E66051"/>
    <w:rsid w:val="00E67B62"/>
    <w:rsid w:val="00E709D5"/>
    <w:rsid w:val="00E71269"/>
    <w:rsid w:val="00E72326"/>
    <w:rsid w:val="00E758FB"/>
    <w:rsid w:val="00E80171"/>
    <w:rsid w:val="00E805C3"/>
    <w:rsid w:val="00E81CBE"/>
    <w:rsid w:val="00E82F3E"/>
    <w:rsid w:val="00E9168A"/>
    <w:rsid w:val="00E934E5"/>
    <w:rsid w:val="00E972A2"/>
    <w:rsid w:val="00EA0FF0"/>
    <w:rsid w:val="00EA1CD4"/>
    <w:rsid w:val="00EA22F9"/>
    <w:rsid w:val="00EA2FD0"/>
    <w:rsid w:val="00EA5E21"/>
    <w:rsid w:val="00EA6641"/>
    <w:rsid w:val="00EA7526"/>
    <w:rsid w:val="00EB4B21"/>
    <w:rsid w:val="00EB6E46"/>
    <w:rsid w:val="00EB726C"/>
    <w:rsid w:val="00ED1A8C"/>
    <w:rsid w:val="00ED555C"/>
    <w:rsid w:val="00ED5BEC"/>
    <w:rsid w:val="00EE1396"/>
    <w:rsid w:val="00EE175E"/>
    <w:rsid w:val="00EE4519"/>
    <w:rsid w:val="00EE6A5C"/>
    <w:rsid w:val="00EF1A41"/>
    <w:rsid w:val="00EF1FBC"/>
    <w:rsid w:val="00EF4090"/>
    <w:rsid w:val="00EF4EAC"/>
    <w:rsid w:val="00F022B1"/>
    <w:rsid w:val="00F04777"/>
    <w:rsid w:val="00F05648"/>
    <w:rsid w:val="00F05C43"/>
    <w:rsid w:val="00F10A45"/>
    <w:rsid w:val="00F12F9D"/>
    <w:rsid w:val="00F13AD7"/>
    <w:rsid w:val="00F15B12"/>
    <w:rsid w:val="00F2354E"/>
    <w:rsid w:val="00F23617"/>
    <w:rsid w:val="00F2370F"/>
    <w:rsid w:val="00F26830"/>
    <w:rsid w:val="00F277EE"/>
    <w:rsid w:val="00F31175"/>
    <w:rsid w:val="00F370BA"/>
    <w:rsid w:val="00F42554"/>
    <w:rsid w:val="00F43EB0"/>
    <w:rsid w:val="00F45668"/>
    <w:rsid w:val="00F45AEC"/>
    <w:rsid w:val="00F51F73"/>
    <w:rsid w:val="00F53387"/>
    <w:rsid w:val="00F5402F"/>
    <w:rsid w:val="00F575EB"/>
    <w:rsid w:val="00F6147B"/>
    <w:rsid w:val="00F62212"/>
    <w:rsid w:val="00F678F0"/>
    <w:rsid w:val="00F67DC3"/>
    <w:rsid w:val="00F70F37"/>
    <w:rsid w:val="00F713DB"/>
    <w:rsid w:val="00F7645F"/>
    <w:rsid w:val="00F775BA"/>
    <w:rsid w:val="00F77D58"/>
    <w:rsid w:val="00F814EA"/>
    <w:rsid w:val="00F83767"/>
    <w:rsid w:val="00F90B01"/>
    <w:rsid w:val="00F92129"/>
    <w:rsid w:val="00F9230C"/>
    <w:rsid w:val="00F9488D"/>
    <w:rsid w:val="00F96012"/>
    <w:rsid w:val="00F97A6A"/>
    <w:rsid w:val="00FA0A87"/>
    <w:rsid w:val="00FA1E71"/>
    <w:rsid w:val="00FA4C12"/>
    <w:rsid w:val="00FA5B88"/>
    <w:rsid w:val="00FA76C1"/>
    <w:rsid w:val="00FB2C1D"/>
    <w:rsid w:val="00FB58D5"/>
    <w:rsid w:val="00FB73AA"/>
    <w:rsid w:val="00FC056D"/>
    <w:rsid w:val="00FC05D3"/>
    <w:rsid w:val="00FC6384"/>
    <w:rsid w:val="00FC7D95"/>
    <w:rsid w:val="00FE0AFA"/>
    <w:rsid w:val="00FE2A62"/>
    <w:rsid w:val="00FE3E83"/>
    <w:rsid w:val="00FE435E"/>
    <w:rsid w:val="00FE5D97"/>
    <w:rsid w:val="00FE6FD7"/>
    <w:rsid w:val="00FF26CF"/>
    <w:rsid w:val="00FF3F08"/>
    <w:rsid w:val="00FF4BB6"/>
    <w:rsid w:val="00FF4C11"/>
    <w:rsid w:val="00FF596B"/>
    <w:rsid w:val="00FF63B1"/>
    <w:rsid w:val="00FF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FD533"/>
  <w15:docId w15:val="{12DD142A-E9A5-4510-B9AF-77AAF42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32E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C49DC"/>
    <w:pPr>
      <w:numPr>
        <w:numId w:val="1"/>
      </w:num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after="96" w:line="336" w:lineRule="atLeast"/>
      <w:jc w:val="both"/>
    </w:pPr>
    <w:rPr>
      <w:rFonts w:ascii="Times New Roman" w:eastAsia="Times New Roman" w:hAnsi="Times New Roman" w:cs="Times New Roman"/>
      <w:w w:val="90"/>
      <w:lang w:eastAsia="it-IT"/>
    </w:rPr>
  </w:style>
  <w:style w:type="character" w:customStyle="1" w:styleId="PreformattatoHTMLCarattere">
    <w:name w:val="Preformattato HTML Carattere"/>
    <w:basedOn w:val="Carpredefinitoparagrafo"/>
    <w:link w:val="PreformattatoHTML"/>
    <w:uiPriority w:val="99"/>
    <w:rsid w:val="009C49DC"/>
    <w:rPr>
      <w:rFonts w:ascii="Times New Roman" w:eastAsia="Times New Roman" w:hAnsi="Times New Roman" w:cs="Times New Roman"/>
      <w:w w:val="90"/>
      <w:shd w:val="clear" w:color="auto" w:fill="F9F8F4"/>
      <w:lang w:eastAsia="it-IT"/>
    </w:rPr>
  </w:style>
  <w:style w:type="paragraph" w:styleId="Intestazione">
    <w:name w:val="header"/>
    <w:basedOn w:val="Normale"/>
    <w:link w:val="IntestazioneCarattere"/>
    <w:uiPriority w:val="99"/>
    <w:unhideWhenUsed/>
    <w:rsid w:val="00E758FB"/>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758F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75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58FB"/>
    <w:rPr>
      <w:rFonts w:ascii="Tahoma" w:hAnsi="Tahoma" w:cs="Tahoma"/>
      <w:sz w:val="16"/>
      <w:szCs w:val="16"/>
    </w:rPr>
  </w:style>
  <w:style w:type="paragraph" w:styleId="Pidipagina">
    <w:name w:val="footer"/>
    <w:basedOn w:val="Normale"/>
    <w:link w:val="PidipaginaCarattere"/>
    <w:uiPriority w:val="99"/>
    <w:unhideWhenUsed/>
    <w:rsid w:val="00E107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7E5"/>
  </w:style>
  <w:style w:type="paragraph" w:styleId="Titolo">
    <w:name w:val="Title"/>
    <w:basedOn w:val="Normale"/>
    <w:next w:val="Normale"/>
    <w:link w:val="TitoloCarattere"/>
    <w:uiPriority w:val="10"/>
    <w:qFormat/>
    <w:rsid w:val="00797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qFormat/>
    <w:rsid w:val="007976B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786950"/>
    <w:pPr>
      <w:ind w:left="720"/>
      <w:contextualSpacing/>
    </w:pPr>
  </w:style>
  <w:style w:type="paragraph" w:styleId="Testonotadichiusura">
    <w:name w:val="endnote text"/>
    <w:basedOn w:val="Normale"/>
    <w:link w:val="TestonotadichiusuraCarattere"/>
    <w:uiPriority w:val="99"/>
    <w:semiHidden/>
    <w:unhideWhenUsed/>
    <w:rsid w:val="00BD050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D050A"/>
    <w:rPr>
      <w:sz w:val="20"/>
      <w:szCs w:val="20"/>
    </w:rPr>
  </w:style>
  <w:style w:type="character" w:styleId="Rimandonotadichiusura">
    <w:name w:val="endnote reference"/>
    <w:basedOn w:val="Carpredefinitoparagrafo"/>
    <w:uiPriority w:val="99"/>
    <w:semiHidden/>
    <w:unhideWhenUsed/>
    <w:rsid w:val="00BD050A"/>
    <w:rPr>
      <w:vertAlign w:val="superscript"/>
    </w:rPr>
  </w:style>
  <w:style w:type="character" w:styleId="Rimandocommento">
    <w:name w:val="annotation reference"/>
    <w:basedOn w:val="Carpredefinitoparagrafo"/>
    <w:uiPriority w:val="99"/>
    <w:semiHidden/>
    <w:unhideWhenUsed/>
    <w:rsid w:val="000D1C99"/>
    <w:rPr>
      <w:sz w:val="16"/>
      <w:szCs w:val="16"/>
    </w:rPr>
  </w:style>
  <w:style w:type="paragraph" w:styleId="Testocommento">
    <w:name w:val="annotation text"/>
    <w:basedOn w:val="Normale"/>
    <w:link w:val="TestocommentoCarattere"/>
    <w:uiPriority w:val="99"/>
    <w:semiHidden/>
    <w:unhideWhenUsed/>
    <w:rsid w:val="000D1C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1C99"/>
    <w:rPr>
      <w:sz w:val="20"/>
      <w:szCs w:val="20"/>
    </w:rPr>
  </w:style>
  <w:style w:type="paragraph" w:styleId="Soggettocommento">
    <w:name w:val="annotation subject"/>
    <w:basedOn w:val="Testocommento"/>
    <w:next w:val="Testocommento"/>
    <w:link w:val="SoggettocommentoCarattere"/>
    <w:uiPriority w:val="99"/>
    <w:semiHidden/>
    <w:unhideWhenUsed/>
    <w:rsid w:val="000D1C99"/>
    <w:rPr>
      <w:b/>
      <w:bCs/>
    </w:rPr>
  </w:style>
  <w:style w:type="character" w:customStyle="1" w:styleId="SoggettocommentoCarattere">
    <w:name w:val="Soggetto commento Carattere"/>
    <w:basedOn w:val="TestocommentoCarattere"/>
    <w:link w:val="Soggettocommento"/>
    <w:uiPriority w:val="99"/>
    <w:semiHidden/>
    <w:rsid w:val="000D1C99"/>
    <w:rPr>
      <w:b/>
      <w:bCs/>
      <w:sz w:val="20"/>
      <w:szCs w:val="20"/>
    </w:rPr>
  </w:style>
  <w:style w:type="paragraph" w:customStyle="1" w:styleId="Testopredefinito">
    <w:name w:val="Testo predefinito"/>
    <w:basedOn w:val="Normale"/>
    <w:rsid w:val="00F15B12"/>
    <w:pPr>
      <w:spacing w:after="0" w:line="240" w:lineRule="auto"/>
    </w:pPr>
    <w:rPr>
      <w:rFonts w:ascii="Times New Roman" w:eastAsia="Times New Roman" w:hAnsi="Times New Roman" w:cs="Times New Roman"/>
      <w:snapToGrid w:val="0"/>
      <w:sz w:val="24"/>
      <w:szCs w:val="20"/>
      <w:lang w:val="en-US" w:eastAsia="it-IT"/>
    </w:rPr>
  </w:style>
  <w:style w:type="paragraph" w:styleId="Testonormale">
    <w:name w:val="Plain Text"/>
    <w:basedOn w:val="Normale"/>
    <w:link w:val="TestonormaleCarattere"/>
    <w:uiPriority w:val="99"/>
    <w:rsid w:val="00331EE4"/>
    <w:pPr>
      <w:spacing w:after="0" w:line="240" w:lineRule="auto"/>
    </w:pPr>
    <w:rPr>
      <w:rFonts w:ascii="Courier New" w:eastAsia="Times New Roman" w:hAnsi="Courier New" w:cs="Times New Roman"/>
      <w:snapToGrid w:val="0"/>
      <w:color w:val="000000"/>
      <w:sz w:val="20"/>
      <w:szCs w:val="20"/>
    </w:rPr>
  </w:style>
  <w:style w:type="character" w:customStyle="1" w:styleId="TestonormaleCarattere">
    <w:name w:val="Testo normale Carattere"/>
    <w:basedOn w:val="Carpredefinitoparagrafo"/>
    <w:link w:val="Testonormale"/>
    <w:uiPriority w:val="99"/>
    <w:rsid w:val="00331EE4"/>
    <w:rPr>
      <w:rFonts w:ascii="Courier New" w:eastAsia="Times New Roman" w:hAnsi="Courier New" w:cs="Times New Roman"/>
      <w:snapToGrid w:val="0"/>
      <w:color w:val="000000"/>
      <w:sz w:val="20"/>
      <w:szCs w:val="20"/>
    </w:rPr>
  </w:style>
  <w:style w:type="paragraph" w:customStyle="1" w:styleId="Paragrafoelenco1">
    <w:name w:val="Paragrafo elenco1"/>
    <w:basedOn w:val="Normale"/>
    <w:rsid w:val="009071F2"/>
    <w:pPr>
      <w:overflowPunct w:val="0"/>
      <w:autoSpaceDE w:val="0"/>
      <w:autoSpaceDN w:val="0"/>
      <w:adjustRightInd w:val="0"/>
      <w:spacing w:after="0" w:line="240" w:lineRule="auto"/>
      <w:ind w:left="720"/>
      <w:textAlignment w:val="baseline"/>
    </w:pPr>
    <w:rPr>
      <w:rFonts w:ascii="Times New Roman" w:eastAsia="Times New Roman" w:hAnsi="Times New Roman" w:cs="Times New Roman"/>
      <w:kern w:val="1"/>
      <w:sz w:val="20"/>
      <w:szCs w:val="20"/>
      <w:lang w:eastAsia="it-IT"/>
    </w:rPr>
  </w:style>
  <w:style w:type="paragraph" w:styleId="Revisione">
    <w:name w:val="Revision"/>
    <w:hidden/>
    <w:uiPriority w:val="99"/>
    <w:semiHidden/>
    <w:rsid w:val="00034A1B"/>
    <w:pPr>
      <w:spacing w:after="0" w:line="240" w:lineRule="auto"/>
    </w:pPr>
  </w:style>
  <w:style w:type="table" w:customStyle="1" w:styleId="TableNormal">
    <w:name w:val="Table Normal"/>
    <w:uiPriority w:val="2"/>
    <w:semiHidden/>
    <w:unhideWhenUsed/>
    <w:qFormat/>
    <w:rsid w:val="00A46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46E4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A46E40"/>
    <w:rPr>
      <w:rFonts w:ascii="Times New Roman" w:eastAsia="Times New Roman" w:hAnsi="Times New Roman" w:cs="Times New Roman"/>
      <w:sz w:val="24"/>
      <w:szCs w:val="24"/>
      <w:lang w:val="en-US"/>
    </w:rPr>
  </w:style>
  <w:style w:type="paragraph" w:customStyle="1" w:styleId="TableParagraph">
    <w:name w:val="Table Paragraph"/>
    <w:basedOn w:val="Normale"/>
    <w:uiPriority w:val="1"/>
    <w:qFormat/>
    <w:rsid w:val="00A46E40"/>
    <w:pPr>
      <w:widowControl w:val="0"/>
      <w:autoSpaceDE w:val="0"/>
      <w:autoSpaceDN w:val="0"/>
      <w:spacing w:after="0" w:line="240" w:lineRule="auto"/>
    </w:pPr>
    <w:rPr>
      <w:rFonts w:ascii="Times New Roman" w:eastAsia="Times New Roman" w:hAnsi="Times New Roman" w:cs="Times New Roman"/>
      <w:lang w:val="en-US"/>
    </w:rPr>
  </w:style>
  <w:style w:type="character" w:styleId="Collegamentoipertestuale">
    <w:name w:val="Hyperlink"/>
    <w:basedOn w:val="Carpredefinitoparagrafo"/>
    <w:uiPriority w:val="99"/>
    <w:unhideWhenUsed/>
    <w:rsid w:val="00AF06AA"/>
    <w:rPr>
      <w:color w:val="0000FF" w:themeColor="hyperlink"/>
      <w:u w:val="single"/>
    </w:rPr>
  </w:style>
  <w:style w:type="paragraph" w:customStyle="1" w:styleId="Default">
    <w:name w:val="Default"/>
    <w:rsid w:val="00AF06AA"/>
    <w:pPr>
      <w:autoSpaceDE w:val="0"/>
      <w:autoSpaceDN w:val="0"/>
      <w:adjustRightInd w:val="0"/>
      <w:spacing w:after="0" w:line="240" w:lineRule="auto"/>
    </w:pPr>
    <w:rPr>
      <w:rFonts w:ascii="Garamond" w:hAnsi="Garamond" w:cs="Garamond"/>
      <w:color w:val="000000"/>
      <w:sz w:val="24"/>
      <w:szCs w:val="24"/>
      <w:lang w:val="en-GB"/>
    </w:rPr>
  </w:style>
  <w:style w:type="table" w:styleId="Grigliatabella">
    <w:name w:val="Table Grid"/>
    <w:basedOn w:val="Tabellanormale"/>
    <w:uiPriority w:val="39"/>
    <w:rsid w:val="00AF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D1640"/>
    <w:rPr>
      <w:color w:val="605E5C"/>
      <w:shd w:val="clear" w:color="auto" w:fill="E1DFDD"/>
    </w:rPr>
  </w:style>
  <w:style w:type="character" w:styleId="Collegamentovisitato">
    <w:name w:val="FollowedHyperlink"/>
    <w:basedOn w:val="Carpredefinitoparagrafo"/>
    <w:uiPriority w:val="99"/>
    <w:semiHidden/>
    <w:unhideWhenUsed/>
    <w:rsid w:val="00690817"/>
    <w:rPr>
      <w:color w:val="800080" w:themeColor="followedHyperlink"/>
      <w:u w:val="single"/>
    </w:rPr>
  </w:style>
  <w:style w:type="table" w:customStyle="1" w:styleId="Grigliatabella1">
    <w:name w:val="Griglia tabella1"/>
    <w:basedOn w:val="Tabellanormale"/>
    <w:next w:val="Grigliatabella"/>
    <w:uiPriority w:val="39"/>
    <w:rsid w:val="0007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255">
      <w:bodyDiv w:val="1"/>
      <w:marLeft w:val="0"/>
      <w:marRight w:val="0"/>
      <w:marTop w:val="0"/>
      <w:marBottom w:val="0"/>
      <w:divBdr>
        <w:top w:val="none" w:sz="0" w:space="0" w:color="auto"/>
        <w:left w:val="none" w:sz="0" w:space="0" w:color="auto"/>
        <w:bottom w:val="none" w:sz="0" w:space="0" w:color="auto"/>
        <w:right w:val="none" w:sz="0" w:space="0" w:color="auto"/>
      </w:divBdr>
    </w:div>
    <w:div w:id="248466815">
      <w:bodyDiv w:val="1"/>
      <w:marLeft w:val="0"/>
      <w:marRight w:val="0"/>
      <w:marTop w:val="0"/>
      <w:marBottom w:val="0"/>
      <w:divBdr>
        <w:top w:val="none" w:sz="0" w:space="0" w:color="auto"/>
        <w:left w:val="none" w:sz="0" w:space="0" w:color="auto"/>
        <w:bottom w:val="none" w:sz="0" w:space="0" w:color="auto"/>
        <w:right w:val="none" w:sz="0" w:space="0" w:color="auto"/>
      </w:divBdr>
    </w:div>
    <w:div w:id="285620443">
      <w:bodyDiv w:val="1"/>
      <w:marLeft w:val="0"/>
      <w:marRight w:val="0"/>
      <w:marTop w:val="0"/>
      <w:marBottom w:val="0"/>
      <w:divBdr>
        <w:top w:val="none" w:sz="0" w:space="0" w:color="auto"/>
        <w:left w:val="none" w:sz="0" w:space="0" w:color="auto"/>
        <w:bottom w:val="none" w:sz="0" w:space="0" w:color="auto"/>
        <w:right w:val="none" w:sz="0" w:space="0" w:color="auto"/>
      </w:divBdr>
    </w:div>
    <w:div w:id="437524345">
      <w:bodyDiv w:val="1"/>
      <w:marLeft w:val="0"/>
      <w:marRight w:val="0"/>
      <w:marTop w:val="0"/>
      <w:marBottom w:val="0"/>
      <w:divBdr>
        <w:top w:val="none" w:sz="0" w:space="0" w:color="auto"/>
        <w:left w:val="none" w:sz="0" w:space="0" w:color="auto"/>
        <w:bottom w:val="none" w:sz="0" w:space="0" w:color="auto"/>
        <w:right w:val="none" w:sz="0" w:space="0" w:color="auto"/>
      </w:divBdr>
    </w:div>
    <w:div w:id="676494180">
      <w:bodyDiv w:val="1"/>
      <w:marLeft w:val="0"/>
      <w:marRight w:val="0"/>
      <w:marTop w:val="0"/>
      <w:marBottom w:val="0"/>
      <w:divBdr>
        <w:top w:val="none" w:sz="0" w:space="0" w:color="auto"/>
        <w:left w:val="none" w:sz="0" w:space="0" w:color="auto"/>
        <w:bottom w:val="none" w:sz="0" w:space="0" w:color="auto"/>
        <w:right w:val="none" w:sz="0" w:space="0" w:color="auto"/>
      </w:divBdr>
    </w:div>
    <w:div w:id="793987971">
      <w:bodyDiv w:val="1"/>
      <w:marLeft w:val="0"/>
      <w:marRight w:val="0"/>
      <w:marTop w:val="0"/>
      <w:marBottom w:val="0"/>
      <w:divBdr>
        <w:top w:val="none" w:sz="0" w:space="0" w:color="auto"/>
        <w:left w:val="none" w:sz="0" w:space="0" w:color="auto"/>
        <w:bottom w:val="none" w:sz="0" w:space="0" w:color="auto"/>
        <w:right w:val="none" w:sz="0" w:space="0" w:color="auto"/>
      </w:divBdr>
    </w:div>
    <w:div w:id="907887672">
      <w:bodyDiv w:val="1"/>
      <w:marLeft w:val="0"/>
      <w:marRight w:val="0"/>
      <w:marTop w:val="0"/>
      <w:marBottom w:val="0"/>
      <w:divBdr>
        <w:top w:val="none" w:sz="0" w:space="0" w:color="auto"/>
        <w:left w:val="none" w:sz="0" w:space="0" w:color="auto"/>
        <w:bottom w:val="none" w:sz="0" w:space="0" w:color="auto"/>
        <w:right w:val="none" w:sz="0" w:space="0" w:color="auto"/>
      </w:divBdr>
    </w:div>
    <w:div w:id="944383798">
      <w:bodyDiv w:val="1"/>
      <w:marLeft w:val="0"/>
      <w:marRight w:val="0"/>
      <w:marTop w:val="0"/>
      <w:marBottom w:val="0"/>
      <w:divBdr>
        <w:top w:val="none" w:sz="0" w:space="0" w:color="auto"/>
        <w:left w:val="none" w:sz="0" w:space="0" w:color="auto"/>
        <w:bottom w:val="none" w:sz="0" w:space="0" w:color="auto"/>
        <w:right w:val="none" w:sz="0" w:space="0" w:color="auto"/>
      </w:divBdr>
    </w:div>
    <w:div w:id="1010722343">
      <w:bodyDiv w:val="1"/>
      <w:marLeft w:val="0"/>
      <w:marRight w:val="0"/>
      <w:marTop w:val="0"/>
      <w:marBottom w:val="0"/>
      <w:divBdr>
        <w:top w:val="none" w:sz="0" w:space="0" w:color="auto"/>
        <w:left w:val="none" w:sz="0" w:space="0" w:color="auto"/>
        <w:bottom w:val="none" w:sz="0" w:space="0" w:color="auto"/>
        <w:right w:val="none" w:sz="0" w:space="0" w:color="auto"/>
      </w:divBdr>
    </w:div>
    <w:div w:id="1034573155">
      <w:bodyDiv w:val="1"/>
      <w:marLeft w:val="0"/>
      <w:marRight w:val="0"/>
      <w:marTop w:val="0"/>
      <w:marBottom w:val="0"/>
      <w:divBdr>
        <w:top w:val="none" w:sz="0" w:space="0" w:color="auto"/>
        <w:left w:val="none" w:sz="0" w:space="0" w:color="auto"/>
        <w:bottom w:val="none" w:sz="0" w:space="0" w:color="auto"/>
        <w:right w:val="none" w:sz="0" w:space="0" w:color="auto"/>
      </w:divBdr>
    </w:div>
    <w:div w:id="1088506202">
      <w:bodyDiv w:val="1"/>
      <w:marLeft w:val="0"/>
      <w:marRight w:val="0"/>
      <w:marTop w:val="0"/>
      <w:marBottom w:val="0"/>
      <w:divBdr>
        <w:top w:val="none" w:sz="0" w:space="0" w:color="auto"/>
        <w:left w:val="none" w:sz="0" w:space="0" w:color="auto"/>
        <w:bottom w:val="none" w:sz="0" w:space="0" w:color="auto"/>
        <w:right w:val="none" w:sz="0" w:space="0" w:color="auto"/>
      </w:divBdr>
      <w:divsChild>
        <w:div w:id="1619333023">
          <w:marLeft w:val="360"/>
          <w:marRight w:val="0"/>
          <w:marTop w:val="200"/>
          <w:marBottom w:val="0"/>
          <w:divBdr>
            <w:top w:val="none" w:sz="0" w:space="0" w:color="auto"/>
            <w:left w:val="none" w:sz="0" w:space="0" w:color="auto"/>
            <w:bottom w:val="none" w:sz="0" w:space="0" w:color="auto"/>
            <w:right w:val="none" w:sz="0" w:space="0" w:color="auto"/>
          </w:divBdr>
        </w:div>
      </w:divsChild>
    </w:div>
    <w:div w:id="1173107192">
      <w:bodyDiv w:val="1"/>
      <w:marLeft w:val="0"/>
      <w:marRight w:val="0"/>
      <w:marTop w:val="0"/>
      <w:marBottom w:val="0"/>
      <w:divBdr>
        <w:top w:val="none" w:sz="0" w:space="0" w:color="auto"/>
        <w:left w:val="none" w:sz="0" w:space="0" w:color="auto"/>
        <w:bottom w:val="none" w:sz="0" w:space="0" w:color="auto"/>
        <w:right w:val="none" w:sz="0" w:space="0" w:color="auto"/>
      </w:divBdr>
    </w:div>
    <w:div w:id="1229731303">
      <w:bodyDiv w:val="1"/>
      <w:marLeft w:val="0"/>
      <w:marRight w:val="0"/>
      <w:marTop w:val="0"/>
      <w:marBottom w:val="0"/>
      <w:divBdr>
        <w:top w:val="none" w:sz="0" w:space="0" w:color="auto"/>
        <w:left w:val="none" w:sz="0" w:space="0" w:color="auto"/>
        <w:bottom w:val="none" w:sz="0" w:space="0" w:color="auto"/>
        <w:right w:val="none" w:sz="0" w:space="0" w:color="auto"/>
      </w:divBdr>
    </w:div>
    <w:div w:id="1462773026">
      <w:bodyDiv w:val="1"/>
      <w:marLeft w:val="0"/>
      <w:marRight w:val="0"/>
      <w:marTop w:val="0"/>
      <w:marBottom w:val="0"/>
      <w:divBdr>
        <w:top w:val="none" w:sz="0" w:space="0" w:color="auto"/>
        <w:left w:val="none" w:sz="0" w:space="0" w:color="auto"/>
        <w:bottom w:val="none" w:sz="0" w:space="0" w:color="auto"/>
        <w:right w:val="none" w:sz="0" w:space="0" w:color="auto"/>
      </w:divBdr>
    </w:div>
    <w:div w:id="1678268393">
      <w:bodyDiv w:val="1"/>
      <w:marLeft w:val="0"/>
      <w:marRight w:val="0"/>
      <w:marTop w:val="0"/>
      <w:marBottom w:val="0"/>
      <w:divBdr>
        <w:top w:val="none" w:sz="0" w:space="0" w:color="auto"/>
        <w:left w:val="none" w:sz="0" w:space="0" w:color="auto"/>
        <w:bottom w:val="none" w:sz="0" w:space="0" w:color="auto"/>
        <w:right w:val="none" w:sz="0" w:space="0" w:color="auto"/>
      </w:divBdr>
    </w:div>
    <w:div w:id="1718314760">
      <w:bodyDiv w:val="1"/>
      <w:marLeft w:val="0"/>
      <w:marRight w:val="0"/>
      <w:marTop w:val="0"/>
      <w:marBottom w:val="0"/>
      <w:divBdr>
        <w:top w:val="none" w:sz="0" w:space="0" w:color="auto"/>
        <w:left w:val="none" w:sz="0" w:space="0" w:color="auto"/>
        <w:bottom w:val="none" w:sz="0" w:space="0" w:color="auto"/>
        <w:right w:val="none" w:sz="0" w:space="0" w:color="auto"/>
      </w:divBdr>
    </w:div>
    <w:div w:id="1780641916">
      <w:bodyDiv w:val="1"/>
      <w:marLeft w:val="0"/>
      <w:marRight w:val="0"/>
      <w:marTop w:val="0"/>
      <w:marBottom w:val="0"/>
      <w:divBdr>
        <w:top w:val="none" w:sz="0" w:space="0" w:color="auto"/>
        <w:left w:val="none" w:sz="0" w:space="0" w:color="auto"/>
        <w:bottom w:val="none" w:sz="0" w:space="0" w:color="auto"/>
        <w:right w:val="none" w:sz="0" w:space="0" w:color="auto"/>
      </w:divBdr>
    </w:div>
    <w:div w:id="1783651061">
      <w:bodyDiv w:val="1"/>
      <w:marLeft w:val="0"/>
      <w:marRight w:val="0"/>
      <w:marTop w:val="0"/>
      <w:marBottom w:val="0"/>
      <w:divBdr>
        <w:top w:val="none" w:sz="0" w:space="0" w:color="auto"/>
        <w:left w:val="none" w:sz="0" w:space="0" w:color="auto"/>
        <w:bottom w:val="none" w:sz="0" w:space="0" w:color="auto"/>
        <w:right w:val="none" w:sz="0" w:space="0" w:color="auto"/>
      </w:divBdr>
    </w:div>
    <w:div w:id="1844053357">
      <w:bodyDiv w:val="1"/>
      <w:marLeft w:val="0"/>
      <w:marRight w:val="0"/>
      <w:marTop w:val="0"/>
      <w:marBottom w:val="0"/>
      <w:divBdr>
        <w:top w:val="none" w:sz="0" w:space="0" w:color="auto"/>
        <w:left w:val="none" w:sz="0" w:space="0" w:color="auto"/>
        <w:bottom w:val="none" w:sz="0" w:space="0" w:color="auto"/>
        <w:right w:val="none" w:sz="0" w:space="0" w:color="auto"/>
      </w:divBdr>
    </w:div>
    <w:div w:id="1849055160">
      <w:bodyDiv w:val="1"/>
      <w:marLeft w:val="0"/>
      <w:marRight w:val="0"/>
      <w:marTop w:val="0"/>
      <w:marBottom w:val="0"/>
      <w:divBdr>
        <w:top w:val="none" w:sz="0" w:space="0" w:color="auto"/>
        <w:left w:val="none" w:sz="0" w:space="0" w:color="auto"/>
        <w:bottom w:val="none" w:sz="0" w:space="0" w:color="auto"/>
        <w:right w:val="none" w:sz="0" w:space="0" w:color="auto"/>
      </w:divBdr>
    </w:div>
    <w:div w:id="2059085985">
      <w:bodyDiv w:val="1"/>
      <w:marLeft w:val="0"/>
      <w:marRight w:val="0"/>
      <w:marTop w:val="0"/>
      <w:marBottom w:val="0"/>
      <w:divBdr>
        <w:top w:val="none" w:sz="0" w:space="0" w:color="auto"/>
        <w:left w:val="none" w:sz="0" w:space="0" w:color="auto"/>
        <w:bottom w:val="none" w:sz="0" w:space="0" w:color="auto"/>
        <w:right w:val="none" w:sz="0" w:space="0" w:color="auto"/>
      </w:divBdr>
    </w:div>
    <w:div w:id="2125617110">
      <w:bodyDiv w:val="1"/>
      <w:marLeft w:val="0"/>
      <w:marRight w:val="0"/>
      <w:marTop w:val="0"/>
      <w:marBottom w:val="0"/>
      <w:divBdr>
        <w:top w:val="none" w:sz="0" w:space="0" w:color="auto"/>
        <w:left w:val="none" w:sz="0" w:space="0" w:color="auto"/>
        <w:bottom w:val="none" w:sz="0" w:space="0" w:color="auto"/>
        <w:right w:val="none" w:sz="0" w:space="0" w:color="auto"/>
      </w:divBdr>
    </w:div>
    <w:div w:id="2142379874">
      <w:bodyDiv w:val="1"/>
      <w:marLeft w:val="0"/>
      <w:marRight w:val="0"/>
      <w:marTop w:val="0"/>
      <w:marBottom w:val="0"/>
      <w:divBdr>
        <w:top w:val="none" w:sz="0" w:space="0" w:color="auto"/>
        <w:left w:val="none" w:sz="0" w:space="0" w:color="auto"/>
        <w:bottom w:val="none" w:sz="0" w:space="0" w:color="auto"/>
        <w:right w:val="none" w:sz="0" w:space="0" w:color="auto"/>
      </w:divBdr>
      <w:divsChild>
        <w:div w:id="5326221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gins.qgis.org/plugins/MzSTools" TargetMode="External"/><Relationship Id="rId13" Type="http://schemas.openxmlformats.org/officeDocument/2006/relationships/hyperlink" Target="https://www.centromicrozonazionesismica.it/it/download/category/13-linee-guida-per-la-gestione-del-territorio-in-aree-interessate-da-instabilita-di-versante-cosismiche"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si.rm.ingv.it" TargetMode="External"/><Relationship Id="rId7" Type="http://schemas.openxmlformats.org/officeDocument/2006/relationships/endnotes" Target="endnotes.xml"/><Relationship Id="rId12" Type="http://schemas.openxmlformats.org/officeDocument/2006/relationships/hyperlink" Target="https://www.centromicrozonazionesismica.it/it/download/category/10-linee-guida-per-la-gestione-del-territorio-interessato-da-faglie-attive-e-capaci" TargetMode="External"/><Relationship Id="rId17" Type="http://schemas.openxmlformats.org/officeDocument/2006/relationships/hyperlink" Target="https://www.centromicrozonazionesismica.it/it/download/download/38-standardms-42/99-softms-setup-4-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entromicrozonazionesismica.it/it/download/category/38-standardms-42" TargetMode="External"/><Relationship Id="rId20" Type="http://schemas.openxmlformats.org/officeDocument/2006/relationships/hyperlink" Target="http://terremoti.ing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omicrozonazionesismica.it/it/download/category/17-contributi-per-l-aggiornamento-degli-indirizzi-e-criteri-per-la-microzonazione-sismica" TargetMode="External"/><Relationship Id="rId24" Type="http://schemas.openxmlformats.org/officeDocument/2006/relationships/hyperlink" Target="http://itaca.mi.ingv.it/ItacaNet_31/"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amp;ved=2ahUKEwitoKr5u83uAhUDrKQKHXBWAVgQFjAAegQIAxAC&amp;url=http%3A%2F%2Fgovernancerischio.protezionecivile.gov.it%2Fdocuments%2F20182%2F229898%2FSIC_F2.1%2BAdattamento%2Bcontesto%2Bvulcanico%2F3277cf45-bcf5-4f8d-9e7a-22e986195d8d&amp;usg=AOvVaw0L6rFGK_QIblQLO8o9_V-a" TargetMode="External"/><Relationship Id="rId23" Type="http://schemas.openxmlformats.org/officeDocument/2006/relationships/hyperlink" Target="http://esse1-gis.mi.ingv.it/" TargetMode="External"/><Relationship Id="rId28" Type="http://schemas.openxmlformats.org/officeDocument/2006/relationships/theme" Target="theme/theme1.xml"/><Relationship Id="rId10" Type="http://schemas.openxmlformats.org/officeDocument/2006/relationships/hyperlink" Target="https://www.centromicrozonazionesismica.it/it/download/category/7-indirizzi-e-criteri-per-la-microzonazione-sismi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ncenzo.delgaudio@uniba.it" TargetMode="External"/><Relationship Id="rId14" Type="http://schemas.openxmlformats.org/officeDocument/2006/relationships/hyperlink" Target="https://www.centromicrozonazionesismica.it/it/download/category/21-linee-guida-per-la-gestione-del-territorio-in-aree-interessate-da-liquefazioni" TargetMode="External"/><Relationship Id="rId22" Type="http://schemas.openxmlformats.org/officeDocument/2006/relationships/hyperlink" Target="https://diss.ingv.i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5.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86E9-4996-4A2C-80A5-DAB5EEA8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6934</Words>
  <Characters>39525</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stoppelli</dc:creator>
  <cp:lastModifiedBy>user9 user9</cp:lastModifiedBy>
  <cp:revision>37</cp:revision>
  <cp:lastPrinted>2019-10-11T10:53:00Z</cp:lastPrinted>
  <dcterms:created xsi:type="dcterms:W3CDTF">2022-01-14T09:42:00Z</dcterms:created>
  <dcterms:modified xsi:type="dcterms:W3CDTF">2022-02-15T09:22:00Z</dcterms:modified>
</cp:coreProperties>
</file>